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43CD" w:rsidRDefault="005743CD" w:rsidP="005743CD">
      <w:pPr>
        <w:jc w:val="center"/>
      </w:pPr>
      <w:r>
        <w:rPr>
          <w:noProof/>
        </w:rPr>
        <w:drawing>
          <wp:inline distT="0" distB="0" distL="0" distR="0" wp14:anchorId="40F51CAC" wp14:editId="0D5C8533">
            <wp:extent cx="3324225" cy="504825"/>
            <wp:effectExtent l="0" t="0" r="9525" b="9525"/>
            <wp:docPr id="3" name="Picture 3" descr="C:\Users\Mohammed Alani\AppData\Local\Microsoft\Windows\INetCache\Content.Word\KIC Brand.jpg"/>
            <wp:cNvGraphicFramePr/>
            <a:graphic xmlns:a="http://schemas.openxmlformats.org/drawingml/2006/main">
              <a:graphicData uri="http://schemas.openxmlformats.org/drawingml/2006/picture">
                <pic:pic xmlns:pic="http://schemas.openxmlformats.org/drawingml/2006/picture">
                  <pic:nvPicPr>
                    <pic:cNvPr id="3" name="Picture 3" descr="C:\Users\Mohammed Alani\AppData\Local\Microsoft\Windows\INetCache\Content.Word\KIC Brand.jpg"/>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24225" cy="504825"/>
                    </a:xfrm>
                    <a:prstGeom prst="rect">
                      <a:avLst/>
                    </a:prstGeom>
                    <a:noFill/>
                    <a:ln>
                      <a:noFill/>
                    </a:ln>
                  </pic:spPr>
                </pic:pic>
              </a:graphicData>
            </a:graphic>
          </wp:inline>
        </w:drawing>
      </w:r>
    </w:p>
    <w:tbl>
      <w:tblPr>
        <w:tblW w:w="10660" w:type="dxa"/>
        <w:jc w:val="center"/>
        <w:tblBorders>
          <w:top w:val="single" w:sz="12" w:space="0" w:color="auto"/>
          <w:left w:val="single" w:sz="12" w:space="0" w:color="auto"/>
          <w:bottom w:val="single" w:sz="12" w:space="0" w:color="auto"/>
          <w:right w:val="single" w:sz="12" w:space="0" w:color="auto"/>
          <w:insideH w:val="single" w:sz="12" w:space="0" w:color="auto"/>
        </w:tblBorders>
        <w:tblLayout w:type="fixed"/>
        <w:tblLook w:val="04A0" w:firstRow="1" w:lastRow="0" w:firstColumn="1" w:lastColumn="0" w:noHBand="0" w:noVBand="1"/>
      </w:tblPr>
      <w:tblGrid>
        <w:gridCol w:w="1134"/>
        <w:gridCol w:w="2924"/>
        <w:gridCol w:w="343"/>
        <w:gridCol w:w="1383"/>
        <w:gridCol w:w="3505"/>
        <w:gridCol w:w="516"/>
        <w:gridCol w:w="343"/>
        <w:gridCol w:w="512"/>
      </w:tblGrid>
      <w:tr w:rsidR="005743CD" w:rsidRPr="005743CD" w:rsidTr="005743CD">
        <w:trPr>
          <w:trHeight w:val="270"/>
          <w:jc w:val="center"/>
        </w:trPr>
        <w:tc>
          <w:tcPr>
            <w:tcW w:w="1134" w:type="dxa"/>
            <w:tcBorders>
              <w:top w:val="single" w:sz="12" w:space="0" w:color="auto"/>
              <w:left w:val="single" w:sz="12" w:space="0" w:color="auto"/>
              <w:bottom w:val="single" w:sz="12" w:space="0" w:color="auto"/>
              <w:right w:val="nil"/>
            </w:tcBorders>
            <w:hideMark/>
          </w:tcPr>
          <w:p w:rsidR="005743CD" w:rsidRPr="005743CD" w:rsidRDefault="005743CD" w:rsidP="005743CD">
            <w:pPr>
              <w:rPr>
                <w:b/>
                <w:bCs/>
              </w:rPr>
            </w:pPr>
            <w:r w:rsidRPr="005743CD">
              <w:rPr>
                <w:b/>
                <w:bCs/>
              </w:rPr>
              <w:t>Course:</w:t>
            </w:r>
          </w:p>
        </w:tc>
        <w:tc>
          <w:tcPr>
            <w:tcW w:w="4649" w:type="dxa"/>
            <w:gridSpan w:val="3"/>
            <w:tcBorders>
              <w:top w:val="single" w:sz="12" w:space="0" w:color="auto"/>
              <w:left w:val="nil"/>
              <w:bottom w:val="single" w:sz="12" w:space="0" w:color="auto"/>
              <w:right w:val="nil"/>
            </w:tcBorders>
            <w:hideMark/>
          </w:tcPr>
          <w:p w:rsidR="005743CD" w:rsidRPr="005743CD" w:rsidRDefault="005743CD" w:rsidP="005743CD">
            <w:pPr>
              <w:rPr>
                <w:b/>
                <w:bCs/>
              </w:rPr>
            </w:pPr>
            <w:r w:rsidRPr="005743CD">
              <w:rPr>
                <w:b/>
                <w:bCs/>
              </w:rPr>
              <w:t>Introduction to Pharmacology and Toxicology/ Gen Pharmacology</w:t>
            </w:r>
          </w:p>
        </w:tc>
        <w:tc>
          <w:tcPr>
            <w:tcW w:w="3504" w:type="dxa"/>
            <w:tcBorders>
              <w:top w:val="single" w:sz="12" w:space="0" w:color="auto"/>
              <w:left w:val="nil"/>
              <w:bottom w:val="single" w:sz="12" w:space="0" w:color="auto"/>
              <w:right w:val="nil"/>
            </w:tcBorders>
            <w:hideMark/>
          </w:tcPr>
          <w:p w:rsidR="005743CD" w:rsidRPr="005743CD" w:rsidRDefault="005743CD" w:rsidP="005743CD">
            <w:pPr>
              <w:rPr>
                <w:b/>
                <w:bCs/>
              </w:rPr>
            </w:pPr>
            <w:r w:rsidRPr="005743CD">
              <w:rPr>
                <w:b/>
                <w:bCs/>
              </w:rPr>
              <w:t>Semester: Summer II 201920</w:t>
            </w:r>
          </w:p>
        </w:tc>
        <w:tc>
          <w:tcPr>
            <w:tcW w:w="1370" w:type="dxa"/>
            <w:gridSpan w:val="3"/>
            <w:tcBorders>
              <w:top w:val="single" w:sz="12" w:space="0" w:color="auto"/>
              <w:left w:val="nil"/>
              <w:bottom w:val="single" w:sz="12" w:space="0" w:color="auto"/>
              <w:right w:val="single" w:sz="12" w:space="0" w:color="auto"/>
            </w:tcBorders>
          </w:tcPr>
          <w:p w:rsidR="005743CD" w:rsidRPr="005743CD" w:rsidRDefault="005743CD" w:rsidP="005743CD">
            <w:pPr>
              <w:rPr>
                <w:b/>
                <w:bCs/>
              </w:rPr>
            </w:pPr>
          </w:p>
        </w:tc>
      </w:tr>
      <w:tr w:rsidR="005743CD" w:rsidRPr="005743CD" w:rsidTr="005743CD">
        <w:trPr>
          <w:trHeight w:val="525"/>
          <w:jc w:val="center"/>
        </w:trPr>
        <w:tc>
          <w:tcPr>
            <w:tcW w:w="1134" w:type="dxa"/>
            <w:tcBorders>
              <w:top w:val="single" w:sz="12" w:space="0" w:color="auto"/>
              <w:left w:val="single" w:sz="12" w:space="0" w:color="auto"/>
              <w:bottom w:val="single" w:sz="12" w:space="0" w:color="auto"/>
              <w:right w:val="nil"/>
            </w:tcBorders>
            <w:hideMark/>
          </w:tcPr>
          <w:p w:rsidR="005743CD" w:rsidRPr="005743CD" w:rsidRDefault="005743CD" w:rsidP="005743CD">
            <w:pPr>
              <w:rPr>
                <w:b/>
                <w:bCs/>
              </w:rPr>
            </w:pPr>
            <w:r w:rsidRPr="005743CD">
              <w:rPr>
                <w:b/>
                <w:bCs/>
              </w:rPr>
              <w:t>Code:</w:t>
            </w:r>
          </w:p>
        </w:tc>
        <w:tc>
          <w:tcPr>
            <w:tcW w:w="4649" w:type="dxa"/>
            <w:gridSpan w:val="3"/>
            <w:tcBorders>
              <w:top w:val="single" w:sz="12" w:space="0" w:color="auto"/>
              <w:left w:val="nil"/>
              <w:bottom w:val="single" w:sz="12" w:space="0" w:color="auto"/>
              <w:right w:val="nil"/>
            </w:tcBorders>
            <w:hideMark/>
          </w:tcPr>
          <w:p w:rsidR="005743CD" w:rsidRPr="005743CD" w:rsidRDefault="005743CD" w:rsidP="005743CD">
            <w:r w:rsidRPr="005743CD">
              <w:rPr>
                <w:b/>
                <w:bCs/>
              </w:rPr>
              <w:t>BML 481/ HBM 204</w:t>
            </w:r>
          </w:p>
        </w:tc>
        <w:tc>
          <w:tcPr>
            <w:tcW w:w="3504" w:type="dxa"/>
            <w:tcBorders>
              <w:top w:val="single" w:sz="12" w:space="0" w:color="auto"/>
              <w:left w:val="nil"/>
              <w:bottom w:val="single" w:sz="12" w:space="0" w:color="auto"/>
              <w:right w:val="nil"/>
            </w:tcBorders>
            <w:hideMark/>
          </w:tcPr>
          <w:p w:rsidR="005743CD" w:rsidRPr="005743CD" w:rsidRDefault="005743CD" w:rsidP="005743CD">
            <w:pPr>
              <w:rPr>
                <w:b/>
                <w:bCs/>
              </w:rPr>
            </w:pPr>
            <w:r w:rsidRPr="005743CD">
              <w:rPr>
                <w:b/>
                <w:bCs/>
              </w:rPr>
              <w:t xml:space="preserve">Lecturer(s):  Dr. </w:t>
            </w:r>
            <w:proofErr w:type="spellStart"/>
            <w:r w:rsidRPr="005743CD">
              <w:rPr>
                <w:b/>
                <w:bCs/>
              </w:rPr>
              <w:t>Manjush</w:t>
            </w:r>
            <w:proofErr w:type="spellEnd"/>
            <w:r w:rsidRPr="005743CD">
              <w:rPr>
                <w:b/>
                <w:bCs/>
              </w:rPr>
              <w:t xml:space="preserve"> K./ Dr. </w:t>
            </w:r>
            <w:proofErr w:type="spellStart"/>
            <w:r w:rsidRPr="005743CD">
              <w:rPr>
                <w:b/>
                <w:bCs/>
              </w:rPr>
              <w:t>Lamyaa</w:t>
            </w:r>
            <w:proofErr w:type="spellEnd"/>
          </w:p>
        </w:tc>
        <w:tc>
          <w:tcPr>
            <w:tcW w:w="1370" w:type="dxa"/>
            <w:gridSpan w:val="3"/>
            <w:tcBorders>
              <w:top w:val="single" w:sz="12" w:space="0" w:color="auto"/>
              <w:left w:val="nil"/>
              <w:bottom w:val="single" w:sz="12" w:space="0" w:color="auto"/>
              <w:right w:val="single" w:sz="12" w:space="0" w:color="auto"/>
            </w:tcBorders>
          </w:tcPr>
          <w:p w:rsidR="005743CD" w:rsidRPr="005743CD" w:rsidRDefault="005743CD" w:rsidP="005743CD"/>
          <w:p w:rsidR="005743CD" w:rsidRPr="005743CD" w:rsidRDefault="005743CD" w:rsidP="005743CD"/>
        </w:tc>
      </w:tr>
      <w:tr w:rsidR="005743CD" w:rsidRPr="005743CD" w:rsidTr="005743CD">
        <w:trPr>
          <w:trHeight w:val="270"/>
          <w:jc w:val="center"/>
        </w:trPr>
        <w:tc>
          <w:tcPr>
            <w:tcW w:w="4057" w:type="dxa"/>
            <w:gridSpan w:val="2"/>
            <w:tcBorders>
              <w:top w:val="single" w:sz="12" w:space="0" w:color="auto"/>
              <w:left w:val="single" w:sz="12" w:space="0" w:color="auto"/>
              <w:bottom w:val="single" w:sz="12" w:space="0" w:color="auto"/>
              <w:right w:val="nil"/>
            </w:tcBorders>
            <w:hideMark/>
          </w:tcPr>
          <w:p w:rsidR="005743CD" w:rsidRPr="005743CD" w:rsidRDefault="005743CD" w:rsidP="005743CD">
            <w:pPr>
              <w:rPr>
                <w:b/>
                <w:bCs/>
              </w:rPr>
            </w:pPr>
            <w:r w:rsidRPr="005743CD">
              <w:rPr>
                <w:b/>
                <w:bCs/>
              </w:rPr>
              <w:t xml:space="preserve">Handout date:  </w:t>
            </w:r>
          </w:p>
        </w:tc>
        <w:tc>
          <w:tcPr>
            <w:tcW w:w="1726" w:type="dxa"/>
            <w:gridSpan w:val="2"/>
            <w:tcBorders>
              <w:top w:val="single" w:sz="12" w:space="0" w:color="auto"/>
              <w:left w:val="nil"/>
              <w:bottom w:val="single" w:sz="12" w:space="0" w:color="auto"/>
              <w:right w:val="nil"/>
            </w:tcBorders>
          </w:tcPr>
          <w:p w:rsidR="005743CD" w:rsidRPr="005743CD" w:rsidRDefault="005743CD" w:rsidP="005743CD"/>
        </w:tc>
        <w:tc>
          <w:tcPr>
            <w:tcW w:w="4020" w:type="dxa"/>
            <w:gridSpan w:val="2"/>
            <w:tcBorders>
              <w:top w:val="single" w:sz="12" w:space="0" w:color="auto"/>
              <w:left w:val="nil"/>
              <w:bottom w:val="single" w:sz="12" w:space="0" w:color="auto"/>
              <w:right w:val="nil"/>
            </w:tcBorders>
            <w:hideMark/>
          </w:tcPr>
          <w:p w:rsidR="005743CD" w:rsidRPr="005743CD" w:rsidRDefault="005743CD" w:rsidP="005743CD">
            <w:pPr>
              <w:rPr>
                <w:b/>
                <w:bCs/>
              </w:rPr>
            </w:pPr>
            <w:r w:rsidRPr="005743CD">
              <w:rPr>
                <w:b/>
                <w:bCs/>
              </w:rPr>
              <w:t xml:space="preserve">Due date: </w:t>
            </w:r>
          </w:p>
        </w:tc>
        <w:tc>
          <w:tcPr>
            <w:tcW w:w="855" w:type="dxa"/>
            <w:gridSpan w:val="2"/>
            <w:tcBorders>
              <w:top w:val="single" w:sz="12" w:space="0" w:color="auto"/>
              <w:left w:val="nil"/>
              <w:bottom w:val="single" w:sz="12" w:space="0" w:color="auto"/>
              <w:right w:val="single" w:sz="12" w:space="0" w:color="auto"/>
            </w:tcBorders>
          </w:tcPr>
          <w:p w:rsidR="005743CD" w:rsidRPr="005743CD" w:rsidRDefault="005743CD" w:rsidP="005743CD"/>
        </w:tc>
      </w:tr>
      <w:tr w:rsidR="005743CD" w:rsidRPr="005743CD" w:rsidTr="005743CD">
        <w:trPr>
          <w:trHeight w:val="525"/>
          <w:jc w:val="center"/>
        </w:trPr>
        <w:tc>
          <w:tcPr>
            <w:tcW w:w="4400" w:type="dxa"/>
            <w:gridSpan w:val="3"/>
            <w:tcBorders>
              <w:top w:val="single" w:sz="12" w:space="0" w:color="auto"/>
              <w:left w:val="single" w:sz="12" w:space="0" w:color="auto"/>
              <w:bottom w:val="single" w:sz="12" w:space="0" w:color="auto"/>
              <w:right w:val="nil"/>
            </w:tcBorders>
            <w:hideMark/>
          </w:tcPr>
          <w:p w:rsidR="005743CD" w:rsidRPr="005743CD" w:rsidRDefault="005743CD" w:rsidP="005743CD">
            <w:pPr>
              <w:rPr>
                <w:b/>
                <w:bCs/>
              </w:rPr>
            </w:pPr>
            <w:r w:rsidRPr="005743CD">
              <w:rPr>
                <w:b/>
                <w:bCs/>
              </w:rPr>
              <w:t>Assignment: Home Assignment-2</w:t>
            </w:r>
          </w:p>
        </w:tc>
        <w:tc>
          <w:tcPr>
            <w:tcW w:w="1383" w:type="dxa"/>
            <w:tcBorders>
              <w:top w:val="single" w:sz="12" w:space="0" w:color="auto"/>
              <w:left w:val="nil"/>
              <w:bottom w:val="single" w:sz="12" w:space="0" w:color="auto"/>
              <w:right w:val="nil"/>
            </w:tcBorders>
          </w:tcPr>
          <w:p w:rsidR="005743CD" w:rsidRPr="005743CD" w:rsidRDefault="005743CD" w:rsidP="005743CD"/>
        </w:tc>
        <w:tc>
          <w:tcPr>
            <w:tcW w:w="4363" w:type="dxa"/>
            <w:gridSpan w:val="3"/>
            <w:tcBorders>
              <w:top w:val="single" w:sz="12" w:space="0" w:color="auto"/>
              <w:left w:val="nil"/>
              <w:bottom w:val="single" w:sz="12" w:space="0" w:color="auto"/>
              <w:right w:val="nil"/>
            </w:tcBorders>
            <w:hideMark/>
          </w:tcPr>
          <w:p w:rsidR="005743CD" w:rsidRPr="005743CD" w:rsidRDefault="005743CD" w:rsidP="005743CD">
            <w:pPr>
              <w:rPr>
                <w:b/>
                <w:bCs/>
              </w:rPr>
            </w:pPr>
            <w:r w:rsidRPr="005743CD">
              <w:rPr>
                <w:b/>
                <w:bCs/>
              </w:rPr>
              <w:t>Maximum Mark: 20</w:t>
            </w:r>
          </w:p>
        </w:tc>
        <w:tc>
          <w:tcPr>
            <w:tcW w:w="512" w:type="dxa"/>
            <w:tcBorders>
              <w:top w:val="single" w:sz="12" w:space="0" w:color="auto"/>
              <w:left w:val="nil"/>
              <w:bottom w:val="single" w:sz="12" w:space="0" w:color="auto"/>
              <w:right w:val="single" w:sz="12" w:space="0" w:color="auto"/>
            </w:tcBorders>
          </w:tcPr>
          <w:p w:rsidR="005743CD" w:rsidRPr="005743CD" w:rsidRDefault="005743CD" w:rsidP="005743CD">
            <w:pPr>
              <w:rPr>
                <w:b/>
                <w:bCs/>
              </w:rPr>
            </w:pPr>
          </w:p>
        </w:tc>
      </w:tr>
    </w:tbl>
    <w:p w:rsidR="005743CD" w:rsidRDefault="005743CD" w:rsidP="005743CD"/>
    <w:p w:rsidR="005743CD" w:rsidRDefault="005743CD" w:rsidP="005743CD">
      <w:r>
        <w:t>Student name</w:t>
      </w:r>
      <w:proofErr w:type="gramStart"/>
      <w:r>
        <w:t>:_</w:t>
      </w:r>
      <w:proofErr w:type="gramEnd"/>
      <w:r>
        <w:t>___________________________                          ID: __________________</w:t>
      </w:r>
    </w:p>
    <w:p w:rsidR="005743CD" w:rsidRDefault="005743CD" w:rsidP="007937B0"/>
    <w:p w:rsidR="005743CD" w:rsidRDefault="005743CD" w:rsidP="007937B0"/>
    <w:p w:rsidR="005743CD" w:rsidRDefault="005743CD" w:rsidP="007937B0"/>
    <w:p w:rsidR="005743CD" w:rsidRDefault="005743CD" w:rsidP="007937B0"/>
    <w:p w:rsidR="005743CD" w:rsidRDefault="005743CD" w:rsidP="007937B0"/>
    <w:p w:rsidR="005743CD" w:rsidRDefault="005743CD" w:rsidP="007937B0"/>
    <w:p w:rsidR="005743CD" w:rsidRDefault="005743CD" w:rsidP="007937B0"/>
    <w:p w:rsidR="005743CD" w:rsidRDefault="005743CD" w:rsidP="007937B0"/>
    <w:p w:rsidR="005743CD" w:rsidRDefault="005743CD" w:rsidP="007937B0"/>
    <w:p w:rsidR="005743CD" w:rsidRDefault="005743CD" w:rsidP="007937B0"/>
    <w:p w:rsidR="005743CD" w:rsidRDefault="005743CD" w:rsidP="007937B0"/>
    <w:p w:rsidR="005743CD" w:rsidRDefault="005743CD" w:rsidP="007937B0"/>
    <w:p w:rsidR="005743CD" w:rsidRDefault="005743CD" w:rsidP="007937B0"/>
    <w:p w:rsidR="00AA31EA" w:rsidRPr="00AA31EA" w:rsidRDefault="00AA31EA" w:rsidP="005743CD">
      <w:pPr>
        <w:jc w:val="center"/>
        <w:rPr>
          <w:b/>
        </w:rPr>
      </w:pPr>
      <w:r w:rsidRPr="00AA31EA">
        <w:rPr>
          <w:b/>
        </w:rPr>
        <w:lastRenderedPageBreak/>
        <w:t>Describe the following Skin disorders and pharmacological approach towards them (Generic name with their action)</w:t>
      </w:r>
    </w:p>
    <w:p w:rsidR="00AA31EA" w:rsidRPr="003B51BC" w:rsidRDefault="00AA31EA" w:rsidP="007937B0">
      <w:pPr>
        <w:rPr>
          <w:b/>
        </w:rPr>
      </w:pPr>
      <w:r w:rsidRPr="003B51BC">
        <w:rPr>
          <w:b/>
        </w:rPr>
        <w:t>Atopic dermatitis</w:t>
      </w:r>
    </w:p>
    <w:p w:rsidR="00AA31EA" w:rsidRDefault="00876F7E" w:rsidP="005743CD">
      <w:pPr>
        <w:ind w:firstLine="720"/>
      </w:pPr>
      <w:r>
        <w:t xml:space="preserve">It is a chronic inflammatory condition of the skin characterized by pruritus. It affects the face, neck, arms and legs. It is common in infancy and is associated with elevated levels of </w:t>
      </w:r>
      <w:proofErr w:type="spellStart"/>
      <w:r>
        <w:t>IgE</w:t>
      </w:r>
      <w:proofErr w:type="spellEnd"/>
      <w:r w:rsidR="005743CD">
        <w:t xml:space="preserve"> (</w:t>
      </w:r>
      <w:r w:rsidR="005743CD" w:rsidRPr="005743CD">
        <w:t>Ralston</w:t>
      </w:r>
      <w:r w:rsidR="005743CD">
        <w:t xml:space="preserve"> et al., 2018)</w:t>
      </w:r>
      <w:r>
        <w:t xml:space="preserve">. Itchiness is the most common symptom for the condition. </w:t>
      </w:r>
      <w:r w:rsidR="00F20412">
        <w:t>Physical finding will involve e</w:t>
      </w:r>
      <w:r w:rsidR="00F20412" w:rsidRPr="00F20412">
        <w:t>czematous lesions</w:t>
      </w:r>
      <w:r w:rsidR="00F20412">
        <w:t xml:space="preserve">, </w:t>
      </w:r>
      <w:proofErr w:type="spellStart"/>
      <w:r w:rsidR="00F20412">
        <w:t>xerosis</w:t>
      </w:r>
      <w:proofErr w:type="spellEnd"/>
      <w:r w:rsidR="00F20412">
        <w:t xml:space="preserve"> and </w:t>
      </w:r>
      <w:proofErr w:type="spellStart"/>
      <w:r w:rsidR="00F20412">
        <w:t>lichenification</w:t>
      </w:r>
      <w:proofErr w:type="spellEnd"/>
      <w:r w:rsidR="00F20412">
        <w:t xml:space="preserve">. </w:t>
      </w:r>
    </w:p>
    <w:p w:rsidR="00064EAF" w:rsidRPr="00E97C50" w:rsidRDefault="00064EAF" w:rsidP="007937B0">
      <w:r w:rsidRPr="00E97C50">
        <w:t xml:space="preserve">Pharmacological approach: </w:t>
      </w:r>
    </w:p>
    <w:p w:rsidR="00064EAF" w:rsidRDefault="00064EAF" w:rsidP="007937B0">
      <w:r w:rsidRPr="00E97C50">
        <w:rPr>
          <w:i/>
        </w:rPr>
        <w:t>Hydrocortisone ointment</w:t>
      </w:r>
      <w:r>
        <w:t>- It acts by suppression of normal immune response and inflammation hence suppressing dermatological inflammation and immune processes</w:t>
      </w:r>
      <w:r w:rsidR="00345A86">
        <w:t xml:space="preserve"> (Watkins, </w:t>
      </w:r>
      <w:r w:rsidR="00345A86" w:rsidRPr="005743CD">
        <w:t>2018)</w:t>
      </w:r>
      <w:r>
        <w:t>.</w:t>
      </w:r>
    </w:p>
    <w:p w:rsidR="00064EAF" w:rsidRDefault="00064EAF" w:rsidP="007937B0">
      <w:r w:rsidRPr="00E97C50">
        <w:rPr>
          <w:i/>
        </w:rPr>
        <w:t>Hydroxyzine</w:t>
      </w:r>
      <w:r>
        <w:t>- It acts as a H1 receptor antagonist hence decreases dermatological allergic symptoms that are associated with histamine release such as pruritus.</w:t>
      </w:r>
    </w:p>
    <w:p w:rsidR="00F92813" w:rsidRPr="005743CD" w:rsidRDefault="00064EAF" w:rsidP="007937B0">
      <w:pPr>
        <w:pStyle w:val="Default"/>
        <w:spacing w:line="480" w:lineRule="auto"/>
        <w:rPr>
          <w:rFonts w:asciiTheme="majorBidi" w:hAnsiTheme="majorBidi" w:cstheme="majorBidi"/>
          <w:b/>
          <w:sz w:val="22"/>
          <w:szCs w:val="22"/>
        </w:rPr>
      </w:pPr>
      <w:r w:rsidRPr="003B51BC">
        <w:rPr>
          <w:rFonts w:asciiTheme="majorBidi" w:hAnsiTheme="majorBidi" w:cstheme="majorBidi"/>
          <w:b/>
          <w:sz w:val="22"/>
          <w:szCs w:val="22"/>
        </w:rPr>
        <w:t>Herpes zoster (Shingles)</w:t>
      </w:r>
    </w:p>
    <w:p w:rsidR="00064EAF" w:rsidRDefault="00F92813" w:rsidP="005743CD">
      <w:pPr>
        <w:ind w:firstLine="720"/>
      </w:pPr>
      <w:r>
        <w:t xml:space="preserve">It is viral infection that occurs due to reactivation of varicella zoster virus. The </w:t>
      </w:r>
      <w:proofErr w:type="gramStart"/>
      <w:r>
        <w:t>symptoms starts</w:t>
      </w:r>
      <w:proofErr w:type="gramEnd"/>
      <w:r>
        <w:t xml:space="preserve"> along the affected dermatome which then is followed by vesicular eruption 2-3 days later</w:t>
      </w:r>
      <w:r w:rsidR="005743CD">
        <w:t xml:space="preserve"> (</w:t>
      </w:r>
      <w:r w:rsidR="005743CD" w:rsidRPr="005743CD">
        <w:t>Ralston</w:t>
      </w:r>
      <w:r w:rsidR="005743CD">
        <w:t xml:space="preserve"> et al., 2018)</w:t>
      </w:r>
      <w:r>
        <w:t xml:space="preserve">. A physical finding is typically painful </w:t>
      </w:r>
      <w:proofErr w:type="spellStart"/>
      <w:r>
        <w:t>herpertiform</w:t>
      </w:r>
      <w:proofErr w:type="spellEnd"/>
      <w:r>
        <w:t xml:space="preserve"> vesicles with </w:t>
      </w:r>
      <w:proofErr w:type="gramStart"/>
      <w:r>
        <w:t>a</w:t>
      </w:r>
      <w:proofErr w:type="gramEnd"/>
      <w:r>
        <w:t xml:space="preserve"> erythematous base that are grouped together. It is usually self-limiting condition. </w:t>
      </w:r>
    </w:p>
    <w:p w:rsidR="00F92813" w:rsidRDefault="00F92813" w:rsidP="007937B0">
      <w:r>
        <w:t>Pharmacological management:</w:t>
      </w:r>
    </w:p>
    <w:p w:rsidR="00F92813" w:rsidRDefault="00F92813" w:rsidP="007937B0">
      <w:r w:rsidRPr="00E97C50">
        <w:rPr>
          <w:i/>
        </w:rPr>
        <w:t>Acyclovir-</w:t>
      </w:r>
      <w:r>
        <w:t xml:space="preserve"> the drug interferes with the viral DNA synthesis hence inhibiting its replication leading to viral shedding decrease and reduced healing time of the lesions</w:t>
      </w:r>
      <w:r w:rsidR="00345A86">
        <w:t xml:space="preserve"> (Watkins, </w:t>
      </w:r>
      <w:r w:rsidR="00345A86" w:rsidRPr="005743CD">
        <w:t>2018)</w:t>
      </w:r>
      <w:r>
        <w:t xml:space="preserve">. </w:t>
      </w:r>
    </w:p>
    <w:p w:rsidR="00F92813" w:rsidRDefault="00F92813" w:rsidP="007937B0">
      <w:r w:rsidRPr="00E97C50">
        <w:rPr>
          <w:i/>
        </w:rPr>
        <w:t>Ibuprofen-</w:t>
      </w:r>
      <w:r>
        <w:t xml:space="preserve"> Inhibit prostaglandin synthesis hence decreased pain and inflammation of the lesions on the patient skin.</w:t>
      </w:r>
    </w:p>
    <w:p w:rsidR="003B51BC" w:rsidRPr="00B975AB" w:rsidRDefault="00F92813" w:rsidP="007937B0">
      <w:pPr>
        <w:pStyle w:val="Default"/>
        <w:spacing w:line="480" w:lineRule="auto"/>
        <w:rPr>
          <w:rFonts w:asciiTheme="majorBidi" w:hAnsiTheme="majorBidi" w:cstheme="majorBidi"/>
          <w:b/>
          <w:sz w:val="22"/>
          <w:szCs w:val="22"/>
        </w:rPr>
      </w:pPr>
      <w:proofErr w:type="spellStart"/>
      <w:r w:rsidRPr="00B975AB">
        <w:rPr>
          <w:rFonts w:asciiTheme="majorBidi" w:hAnsiTheme="majorBidi" w:cstheme="majorBidi"/>
          <w:b/>
          <w:sz w:val="22"/>
          <w:szCs w:val="22"/>
        </w:rPr>
        <w:t>Urticaria</w:t>
      </w:r>
      <w:proofErr w:type="spellEnd"/>
    </w:p>
    <w:p w:rsidR="00F92813" w:rsidRDefault="007937B0" w:rsidP="005743CD">
      <w:pPr>
        <w:pStyle w:val="Default"/>
        <w:spacing w:line="480" w:lineRule="auto"/>
        <w:ind w:firstLine="720"/>
        <w:rPr>
          <w:rFonts w:asciiTheme="majorBidi" w:hAnsiTheme="majorBidi" w:cstheme="majorBidi"/>
          <w:sz w:val="22"/>
          <w:szCs w:val="22"/>
        </w:rPr>
      </w:pPr>
      <w:r>
        <w:rPr>
          <w:rFonts w:asciiTheme="majorBidi" w:hAnsiTheme="majorBidi" w:cstheme="majorBidi"/>
          <w:sz w:val="22"/>
          <w:szCs w:val="22"/>
        </w:rPr>
        <w:lastRenderedPageBreak/>
        <w:t xml:space="preserve">It is a dermatological </w:t>
      </w:r>
      <w:r w:rsidR="003B51BC">
        <w:rPr>
          <w:rFonts w:asciiTheme="majorBidi" w:hAnsiTheme="majorBidi" w:cstheme="majorBidi"/>
          <w:sz w:val="22"/>
          <w:szCs w:val="22"/>
        </w:rPr>
        <w:t xml:space="preserve">condition appears as </w:t>
      </w:r>
      <w:r>
        <w:rPr>
          <w:rFonts w:asciiTheme="majorBidi" w:hAnsiTheme="majorBidi" w:cstheme="majorBidi"/>
          <w:sz w:val="22"/>
          <w:szCs w:val="22"/>
        </w:rPr>
        <w:t xml:space="preserve">raised, </w:t>
      </w:r>
      <w:r w:rsidRPr="007937B0">
        <w:rPr>
          <w:rFonts w:asciiTheme="majorBidi" w:hAnsiTheme="majorBidi" w:cstheme="majorBidi"/>
          <w:sz w:val="22"/>
          <w:szCs w:val="22"/>
        </w:rPr>
        <w:t>well-circumscri</w:t>
      </w:r>
      <w:r>
        <w:rPr>
          <w:rFonts w:asciiTheme="majorBidi" w:hAnsiTheme="majorBidi" w:cstheme="majorBidi"/>
          <w:sz w:val="22"/>
          <w:szCs w:val="22"/>
        </w:rPr>
        <w:t>bed areas of erythema and edema that involves both dermis and epidermis of the skin. It is very pruritic in nature. It is divided into acute, chronic and recurrent</w:t>
      </w:r>
      <w:r w:rsidR="005743CD">
        <w:rPr>
          <w:rFonts w:asciiTheme="majorBidi" w:hAnsiTheme="majorBidi" w:cstheme="majorBidi"/>
          <w:sz w:val="22"/>
          <w:szCs w:val="22"/>
        </w:rPr>
        <w:t xml:space="preserve"> </w:t>
      </w:r>
      <w:r w:rsidR="005743CD">
        <w:t>(</w:t>
      </w:r>
      <w:r w:rsidR="005743CD" w:rsidRPr="005743CD">
        <w:t>Ralston</w:t>
      </w:r>
      <w:r w:rsidR="005743CD">
        <w:t xml:space="preserve"> et al., 2018)</w:t>
      </w:r>
      <w:r>
        <w:rPr>
          <w:rFonts w:asciiTheme="majorBidi" w:hAnsiTheme="majorBidi" w:cstheme="majorBidi"/>
          <w:sz w:val="22"/>
          <w:szCs w:val="22"/>
        </w:rPr>
        <w:t xml:space="preserve">. Acute urticarial fir example is associated with allergic reactions to food, drugs, infections, exercise and cosmetics. </w:t>
      </w:r>
    </w:p>
    <w:p w:rsidR="007937B0" w:rsidRPr="007937B0" w:rsidRDefault="007937B0" w:rsidP="007937B0">
      <w:pPr>
        <w:pStyle w:val="Default"/>
        <w:spacing w:line="480" w:lineRule="auto"/>
        <w:rPr>
          <w:rFonts w:asciiTheme="majorBidi" w:hAnsiTheme="majorBidi" w:cstheme="majorBidi"/>
          <w:sz w:val="22"/>
          <w:szCs w:val="22"/>
        </w:rPr>
      </w:pPr>
      <w:r>
        <w:rPr>
          <w:rFonts w:asciiTheme="majorBidi" w:hAnsiTheme="majorBidi" w:cstheme="majorBidi"/>
          <w:sz w:val="22"/>
          <w:szCs w:val="22"/>
        </w:rPr>
        <w:t xml:space="preserve">Pharmacological management: </w:t>
      </w:r>
    </w:p>
    <w:p w:rsidR="007937B0" w:rsidRDefault="007937B0" w:rsidP="007937B0">
      <w:r w:rsidRPr="00E97C50">
        <w:rPr>
          <w:i/>
        </w:rPr>
        <w:t>Hydroxyzine-</w:t>
      </w:r>
      <w:r>
        <w:t xml:space="preserve"> Antagonizes the effects of </w:t>
      </w:r>
      <w:r w:rsidR="00B975AB">
        <w:t xml:space="preserve">histamine at H1-receptor sites and </w:t>
      </w:r>
      <w:r>
        <w:t>does not bind to or inactivate histamine.</w:t>
      </w:r>
      <w:r w:rsidR="00B975AB">
        <w:t xml:space="preserve"> It decreases the pruritic symptoms of </w:t>
      </w:r>
      <w:proofErr w:type="spellStart"/>
      <w:r w:rsidR="00B975AB">
        <w:t>urticaria</w:t>
      </w:r>
      <w:proofErr w:type="spellEnd"/>
      <w:r w:rsidR="00B975AB">
        <w:t xml:space="preserve">. </w:t>
      </w:r>
    </w:p>
    <w:p w:rsidR="00AA31EA" w:rsidRDefault="00B975AB" w:rsidP="007937B0">
      <w:r w:rsidRPr="00E97C50">
        <w:rPr>
          <w:i/>
        </w:rPr>
        <w:t>Doxepin-</w:t>
      </w:r>
      <w:r w:rsidRPr="00B975AB">
        <w:t xml:space="preserve"> </w:t>
      </w:r>
      <w:r>
        <w:t>the drug prevents reuptake of norepinephrine and serotonin by presynaptic neurons which results in accumulation of neurotransmitters potentiating their activity</w:t>
      </w:r>
      <w:r w:rsidR="00345A86">
        <w:t xml:space="preserve"> (</w:t>
      </w:r>
      <w:proofErr w:type="spellStart"/>
      <w:r w:rsidR="00345A86">
        <w:t>Katzung</w:t>
      </w:r>
      <w:proofErr w:type="spellEnd"/>
      <w:r w:rsidR="00345A86">
        <w:t xml:space="preserve">, </w:t>
      </w:r>
      <w:r w:rsidR="00345A86" w:rsidRPr="005743CD">
        <w:t>2017)</w:t>
      </w:r>
      <w:r>
        <w:t xml:space="preserve">. The drug also blocks H1and H2 histamine receptors.  This in effect decreases pruritus especially for </w:t>
      </w:r>
      <w:proofErr w:type="spellStart"/>
      <w:r>
        <w:t>urticaria</w:t>
      </w:r>
      <w:proofErr w:type="spellEnd"/>
      <w:r>
        <w:t xml:space="preserve">. </w:t>
      </w:r>
    </w:p>
    <w:p w:rsidR="00BC5EF5" w:rsidRPr="00BC5EF5" w:rsidRDefault="00BC5EF5" w:rsidP="007937B0">
      <w:pPr>
        <w:rPr>
          <w:b/>
        </w:rPr>
      </w:pPr>
      <w:r w:rsidRPr="00BC5EF5">
        <w:rPr>
          <w:b/>
        </w:rPr>
        <w:t xml:space="preserve">Rosacea </w:t>
      </w:r>
    </w:p>
    <w:p w:rsidR="00BC5EF5" w:rsidRDefault="00BC5EF5" w:rsidP="005743CD">
      <w:pPr>
        <w:ind w:firstLine="720"/>
      </w:pPr>
      <w:r>
        <w:t xml:space="preserve">It is a dermatological condition that is </w:t>
      </w:r>
      <w:r w:rsidRPr="00BC5EF5">
        <w:t xml:space="preserve">characterized by symptoms of facial flushing and a spectrum of clinical signs, including erythema, telangiectasia, coarseness of skin, and an inflammatory </w:t>
      </w:r>
      <w:proofErr w:type="spellStart"/>
      <w:r w:rsidRPr="00BC5EF5">
        <w:t>papulopustular</w:t>
      </w:r>
      <w:proofErr w:type="spellEnd"/>
      <w:r w:rsidRPr="00BC5EF5">
        <w:t xml:space="preserve"> eruption resembling acne</w:t>
      </w:r>
      <w:r w:rsidR="00345A86">
        <w:t xml:space="preserve"> (</w:t>
      </w:r>
      <w:r w:rsidR="00345A86" w:rsidRPr="005743CD">
        <w:t>Ralston</w:t>
      </w:r>
      <w:r w:rsidR="00345A86">
        <w:t xml:space="preserve"> et al., 2018)</w:t>
      </w:r>
      <w:r>
        <w:t xml:space="preserve">. It consists of the following subtypes: </w:t>
      </w:r>
      <w:proofErr w:type="spellStart"/>
      <w:r>
        <w:t>erythematotelangiectatic</w:t>
      </w:r>
      <w:proofErr w:type="spellEnd"/>
      <w:r>
        <w:t xml:space="preserve"> type, </w:t>
      </w:r>
      <w:proofErr w:type="spellStart"/>
      <w:r>
        <w:t>p</w:t>
      </w:r>
      <w:r w:rsidRPr="00BC5EF5">
        <w:t>apulopustular</w:t>
      </w:r>
      <w:proofErr w:type="spellEnd"/>
      <w:r>
        <w:t xml:space="preserve">, </w:t>
      </w:r>
      <w:proofErr w:type="spellStart"/>
      <w:r>
        <w:t>p</w:t>
      </w:r>
      <w:r w:rsidRPr="00BC5EF5">
        <w:t>hymatous</w:t>
      </w:r>
      <w:proofErr w:type="spellEnd"/>
      <w:r>
        <w:t xml:space="preserve"> and o</w:t>
      </w:r>
      <w:r w:rsidRPr="00BC5EF5">
        <w:t>cular</w:t>
      </w:r>
      <w:r>
        <w:t>.</w:t>
      </w:r>
    </w:p>
    <w:p w:rsidR="00BC5EF5" w:rsidRPr="00BC5EF5" w:rsidRDefault="00BC5EF5" w:rsidP="00BC5EF5">
      <w:pPr>
        <w:rPr>
          <w:rFonts w:cs="Times New Roman"/>
          <w:szCs w:val="24"/>
        </w:rPr>
      </w:pPr>
      <w:r>
        <w:t xml:space="preserve">Pharmacological agent: </w:t>
      </w:r>
    </w:p>
    <w:p w:rsidR="00BC5EF5" w:rsidRDefault="00BC5EF5" w:rsidP="00BC5EF5">
      <w:pPr>
        <w:outlineLvl w:val="1"/>
      </w:pPr>
      <w:r w:rsidRPr="00BC5EF5">
        <w:rPr>
          <w:rFonts w:eastAsia="Times New Roman" w:cs="Times New Roman"/>
          <w:i/>
          <w:color w:val="2A2A2A"/>
          <w:szCs w:val="24"/>
        </w:rPr>
        <w:t>Tacrolimus ointment</w:t>
      </w:r>
      <w:r>
        <w:rPr>
          <w:rFonts w:eastAsia="Times New Roman"/>
          <w:color w:val="2A2A2A"/>
        </w:rPr>
        <w:t xml:space="preserve">- </w:t>
      </w:r>
      <w:r>
        <w:t xml:space="preserve">Inhibits T-lymphocyte activation hence acts as an immune modulator preventing and reducing inflammation and pruritus through suppression of cytokines released by T cells.     </w:t>
      </w:r>
    </w:p>
    <w:p w:rsidR="00BC5EF5" w:rsidRDefault="00616611" w:rsidP="00BC5EF5">
      <w:pPr>
        <w:outlineLvl w:val="1"/>
      </w:pPr>
      <w:r w:rsidRPr="00E97C50">
        <w:rPr>
          <w:i/>
        </w:rPr>
        <w:t>Metronidazole topical</w:t>
      </w:r>
      <w:r>
        <w:t>-</w:t>
      </w:r>
      <w:r w:rsidRPr="00616611">
        <w:t xml:space="preserve"> </w:t>
      </w:r>
      <w:r>
        <w:t>The medication d</w:t>
      </w:r>
      <w:r w:rsidRPr="00616611">
        <w:t>isrupts DNA and protein syn</w:t>
      </w:r>
      <w:r>
        <w:t>thesis in susceptible organisms hence preventing bacterial infections on the rosacea</w:t>
      </w:r>
      <w:r w:rsidR="00345A86">
        <w:t xml:space="preserve"> (</w:t>
      </w:r>
      <w:proofErr w:type="spellStart"/>
      <w:r w:rsidR="00345A86">
        <w:t>Katzung</w:t>
      </w:r>
      <w:proofErr w:type="spellEnd"/>
      <w:r w:rsidR="00345A86">
        <w:t xml:space="preserve">, </w:t>
      </w:r>
      <w:r w:rsidR="00345A86" w:rsidRPr="005743CD">
        <w:t>2017</w:t>
      </w:r>
      <w:r w:rsidR="00345A86">
        <w:t>)</w:t>
      </w:r>
      <w:r>
        <w:t xml:space="preserve">. </w:t>
      </w:r>
      <w:r w:rsidR="00560059">
        <w:t xml:space="preserve"> </w:t>
      </w:r>
    </w:p>
    <w:p w:rsidR="00560059" w:rsidRPr="000B47BA" w:rsidRDefault="00560059" w:rsidP="005743CD">
      <w:pPr>
        <w:ind w:firstLine="720"/>
        <w:outlineLvl w:val="1"/>
        <w:rPr>
          <w:b/>
        </w:rPr>
      </w:pPr>
      <w:r w:rsidRPr="000B47BA">
        <w:rPr>
          <w:b/>
        </w:rPr>
        <w:t xml:space="preserve">Steven Johnson Syndrome and Toxic Epidermal Necrolysis </w:t>
      </w:r>
    </w:p>
    <w:p w:rsidR="00616611" w:rsidRDefault="000B47BA" w:rsidP="00BC5EF5">
      <w:pPr>
        <w:outlineLvl w:val="1"/>
      </w:pPr>
      <w:r>
        <w:lastRenderedPageBreak/>
        <w:t xml:space="preserve">Steven Johnson Syndrome is a type IV </w:t>
      </w:r>
      <w:r w:rsidRPr="000B47BA">
        <w:t>hypersensitivity reaction that typically involves the skin and the mucous membranes</w:t>
      </w:r>
      <w:r w:rsidR="00345A86">
        <w:t xml:space="preserve"> (</w:t>
      </w:r>
      <w:r w:rsidR="00345A86" w:rsidRPr="005743CD">
        <w:t>Ralston</w:t>
      </w:r>
      <w:r w:rsidR="00345A86">
        <w:t xml:space="preserve"> et al., 2018)</w:t>
      </w:r>
      <w:r w:rsidRPr="000B47BA">
        <w:t>.</w:t>
      </w:r>
      <w:r>
        <w:t xml:space="preserve"> It covers less than 10% of the total skin surface. T</w:t>
      </w:r>
      <w:r w:rsidRPr="000B47BA">
        <w:t>oxic epidermal necrolysis</w:t>
      </w:r>
      <w:r>
        <w:t xml:space="preserve"> </w:t>
      </w:r>
      <w:r w:rsidRPr="000B47BA">
        <w:t xml:space="preserve">is characterized by </w:t>
      </w:r>
      <w:r>
        <w:t xml:space="preserve">cutaneous </w:t>
      </w:r>
      <w:r w:rsidRPr="000B47BA">
        <w:t xml:space="preserve">widespread erythematous macules and </w:t>
      </w:r>
      <w:proofErr w:type="spellStart"/>
      <w:r w:rsidRPr="000B47BA">
        <w:t>targetoid</w:t>
      </w:r>
      <w:proofErr w:type="spellEnd"/>
      <w:r w:rsidRPr="000B47BA">
        <w:t xml:space="preserve"> lesions</w:t>
      </w:r>
      <w:r w:rsidR="00345A86">
        <w:t xml:space="preserve"> (</w:t>
      </w:r>
      <w:r w:rsidR="00345A86" w:rsidRPr="005743CD">
        <w:t>Ralston</w:t>
      </w:r>
      <w:r w:rsidR="00345A86">
        <w:t xml:space="preserve"> et al., 2018)</w:t>
      </w:r>
      <w:r>
        <w:t xml:space="preserve">. It involves more than 30% of the total cutaneous surface area. It is normally caused by adverse effects of medication being taken by the patient and part of management involves withdrawal of the agent. Mortality rate can go </w:t>
      </w:r>
      <w:proofErr w:type="spellStart"/>
      <w:r>
        <w:t>upto</w:t>
      </w:r>
      <w:proofErr w:type="spellEnd"/>
      <w:r>
        <w:t xml:space="preserve"> 40% and aggressive management is required. </w:t>
      </w:r>
    </w:p>
    <w:p w:rsidR="000B47BA" w:rsidRDefault="000B47BA" w:rsidP="00BC5EF5">
      <w:pPr>
        <w:outlineLvl w:val="1"/>
      </w:pPr>
      <w:r>
        <w:t xml:space="preserve">Pharmacological management: </w:t>
      </w:r>
    </w:p>
    <w:p w:rsidR="000B47BA" w:rsidRDefault="00340970" w:rsidP="00BC5EF5">
      <w:pPr>
        <w:outlineLvl w:val="1"/>
      </w:pPr>
      <w:r w:rsidRPr="00E97C50">
        <w:rPr>
          <w:i/>
        </w:rPr>
        <w:t>Cyclosporine</w:t>
      </w:r>
      <w:r>
        <w:t xml:space="preserve">- </w:t>
      </w:r>
      <w:r w:rsidRPr="00340970">
        <w:t xml:space="preserve">Inhibits normal immune responses </w:t>
      </w:r>
      <w:r>
        <w:t xml:space="preserve">both cellular and humoral </w:t>
      </w:r>
      <w:r w:rsidRPr="00340970">
        <w:t>by inhibiting interleukin2, a factor necessary for initiation of T-cell activity</w:t>
      </w:r>
      <w:r>
        <w:t xml:space="preserve"> hence preventing further progress of the condition since it is an immune </w:t>
      </w:r>
      <w:proofErr w:type="spellStart"/>
      <w:r>
        <w:t>overactivity</w:t>
      </w:r>
      <w:proofErr w:type="spellEnd"/>
      <w:r>
        <w:t>/overreaction</w:t>
      </w:r>
      <w:r w:rsidR="00345A86">
        <w:t xml:space="preserve"> (Watkins, </w:t>
      </w:r>
      <w:r w:rsidR="00345A86" w:rsidRPr="005743CD">
        <w:t>2018)</w:t>
      </w:r>
      <w:r>
        <w:t xml:space="preserve">. </w:t>
      </w:r>
    </w:p>
    <w:p w:rsidR="00340970" w:rsidRDefault="00340970" w:rsidP="00BC5EF5">
      <w:pPr>
        <w:outlineLvl w:val="1"/>
      </w:pPr>
      <w:r w:rsidRPr="00E97C50">
        <w:rPr>
          <w:i/>
        </w:rPr>
        <w:t>Prednisone</w:t>
      </w:r>
      <w:r>
        <w:t xml:space="preserve">- It acts by suppressing inflammation and the normal immune response since it is a steroid. This will reduce the inflammatory and modification of the normal immune response adverse </w:t>
      </w:r>
      <w:proofErr w:type="gramStart"/>
      <w:r>
        <w:t>effects</w:t>
      </w:r>
      <w:proofErr w:type="gramEnd"/>
      <w:r>
        <w:t xml:space="preserve"> of the drug that caused SJS/TEN. </w:t>
      </w:r>
    </w:p>
    <w:p w:rsidR="003F598A" w:rsidRDefault="003F598A" w:rsidP="005743CD">
      <w:pPr>
        <w:pStyle w:val="Default"/>
        <w:spacing w:after="240" w:line="276" w:lineRule="auto"/>
        <w:jc w:val="center"/>
        <w:rPr>
          <w:rFonts w:asciiTheme="majorBidi" w:hAnsiTheme="majorBidi" w:cstheme="majorBidi"/>
          <w:b/>
          <w:sz w:val="22"/>
          <w:szCs w:val="22"/>
        </w:rPr>
      </w:pPr>
      <w:r>
        <w:rPr>
          <w:rFonts w:asciiTheme="majorBidi" w:hAnsiTheme="majorBidi" w:cstheme="majorBidi"/>
          <w:b/>
          <w:sz w:val="22"/>
          <w:szCs w:val="22"/>
        </w:rPr>
        <w:t>Write 4 infectious ENT disorders and the pharmacological approach to treat them</w:t>
      </w:r>
      <w:r>
        <w:t xml:space="preserve"> (</w:t>
      </w:r>
      <w:r>
        <w:rPr>
          <w:rFonts w:asciiTheme="majorBidi" w:hAnsiTheme="majorBidi" w:cstheme="majorBidi"/>
          <w:b/>
          <w:color w:val="FF0000"/>
          <w:sz w:val="22"/>
          <w:szCs w:val="22"/>
        </w:rPr>
        <w:t>Generic name with their action</w:t>
      </w:r>
      <w:r>
        <w:rPr>
          <w:rFonts w:asciiTheme="majorBidi" w:hAnsiTheme="majorBidi" w:cstheme="majorBidi"/>
          <w:b/>
          <w:sz w:val="22"/>
          <w:szCs w:val="22"/>
        </w:rPr>
        <w:t>)</w:t>
      </w:r>
    </w:p>
    <w:p w:rsidR="00340970" w:rsidRPr="00F1735F" w:rsidRDefault="00574BD8" w:rsidP="00BC5EF5">
      <w:pPr>
        <w:outlineLvl w:val="1"/>
        <w:rPr>
          <w:b/>
        </w:rPr>
      </w:pPr>
      <w:r w:rsidRPr="00F1735F">
        <w:rPr>
          <w:b/>
        </w:rPr>
        <w:t>Otitis media</w:t>
      </w:r>
    </w:p>
    <w:p w:rsidR="000B47BA" w:rsidRDefault="00574BD8" w:rsidP="005743CD">
      <w:pPr>
        <w:ind w:firstLine="720"/>
        <w:outlineLvl w:val="1"/>
      </w:pPr>
      <w:proofErr w:type="gramStart"/>
      <w:r>
        <w:t>Refers to the inflammation of the middle ear regardless of the etiology and pathogenesis.</w:t>
      </w:r>
      <w:proofErr w:type="gramEnd"/>
      <w:r>
        <w:t xml:space="preserve"> It is common among children. There are four types which are acute, chronic </w:t>
      </w:r>
      <w:proofErr w:type="spellStart"/>
      <w:r>
        <w:t>suppurative</w:t>
      </w:r>
      <w:proofErr w:type="spellEnd"/>
      <w:r>
        <w:t>, otitis media with effusion and adhesive otitis media</w:t>
      </w:r>
      <w:r w:rsidR="00345A86">
        <w:t xml:space="preserve"> (</w:t>
      </w:r>
      <w:r w:rsidR="00345A86" w:rsidRPr="005743CD">
        <w:t>Ralston</w:t>
      </w:r>
      <w:r w:rsidR="00345A86">
        <w:t xml:space="preserve"> et al., 2018)</w:t>
      </w:r>
      <w:r>
        <w:t>. In most cases it is caused by microorganisms especially bacterial.</w:t>
      </w:r>
    </w:p>
    <w:p w:rsidR="00574BD8" w:rsidRDefault="00574BD8" w:rsidP="00BC5EF5">
      <w:pPr>
        <w:outlineLvl w:val="1"/>
      </w:pPr>
      <w:r>
        <w:t xml:space="preserve">Pharmacological management: </w:t>
      </w:r>
    </w:p>
    <w:p w:rsidR="00574BD8" w:rsidRDefault="00574BD8" w:rsidP="00BC5EF5">
      <w:pPr>
        <w:outlineLvl w:val="1"/>
      </w:pPr>
      <w:r w:rsidRPr="00E97C50">
        <w:rPr>
          <w:i/>
        </w:rPr>
        <w:lastRenderedPageBreak/>
        <w:t>Amoxicillin</w:t>
      </w:r>
      <w:r>
        <w:t xml:space="preserve">- Acts by binding to the cell wall of the bacteria and causing their death. It is a penicillin based antibiotic with bactericidal effects. It will therefore treat otitis media since it is an infection. </w:t>
      </w:r>
    </w:p>
    <w:p w:rsidR="00574BD8" w:rsidRDefault="00F1735F" w:rsidP="00BC5EF5">
      <w:pPr>
        <w:outlineLvl w:val="1"/>
      </w:pPr>
      <w:r w:rsidRPr="00E97C50">
        <w:rPr>
          <w:i/>
        </w:rPr>
        <w:t>Amoxicillin/</w:t>
      </w:r>
      <w:proofErr w:type="spellStart"/>
      <w:r w:rsidRPr="00E97C50">
        <w:rPr>
          <w:i/>
        </w:rPr>
        <w:t>clavulanate</w:t>
      </w:r>
      <w:proofErr w:type="spellEnd"/>
      <w:r>
        <w:t xml:space="preserve">- It acts by binding to bacterial cell wall, causing cell death. </w:t>
      </w:r>
      <w:proofErr w:type="spellStart"/>
      <w:r>
        <w:t>Clavulanate</w:t>
      </w:r>
      <w:proofErr w:type="spellEnd"/>
      <w:r>
        <w:t xml:space="preserve"> resists action of beta-lactamase, an enzyme produced by bacteria that is capable of inactivating some </w:t>
      </w:r>
      <w:proofErr w:type="spellStart"/>
      <w:proofErr w:type="gramStart"/>
      <w:r>
        <w:t>penicillins</w:t>
      </w:r>
      <w:proofErr w:type="spellEnd"/>
      <w:proofErr w:type="gramEnd"/>
      <w:r w:rsidR="00345A86">
        <w:t xml:space="preserve"> (Watkins, </w:t>
      </w:r>
      <w:r w:rsidR="00345A86" w:rsidRPr="005743CD">
        <w:t>2018)</w:t>
      </w:r>
      <w:r>
        <w:t xml:space="preserve">. It is therefore better compared to amoxicillin. </w:t>
      </w:r>
    </w:p>
    <w:p w:rsidR="00F1735F" w:rsidRDefault="00E97C50" w:rsidP="00BC5EF5">
      <w:pPr>
        <w:outlineLvl w:val="1"/>
      </w:pPr>
      <w:r>
        <w:rPr>
          <w:i/>
        </w:rPr>
        <w:t>Cefuroxime-</w:t>
      </w:r>
      <w:r w:rsidR="00F1735F">
        <w:t xml:space="preserve">It is a second generation cephalosporin that acts by binding to the bacterial cell wall hence causing death. It is more sensitive to gram negative bacteria. </w:t>
      </w:r>
    </w:p>
    <w:p w:rsidR="00F1735F" w:rsidRPr="00692D4C" w:rsidRDefault="00F1735F" w:rsidP="00BC5EF5">
      <w:pPr>
        <w:outlineLvl w:val="1"/>
        <w:rPr>
          <w:b/>
        </w:rPr>
      </w:pPr>
      <w:r w:rsidRPr="00692D4C">
        <w:rPr>
          <w:b/>
        </w:rPr>
        <w:t>Mastoiditis</w:t>
      </w:r>
    </w:p>
    <w:p w:rsidR="00F1735F" w:rsidRDefault="00F1735F" w:rsidP="005743CD">
      <w:pPr>
        <w:ind w:firstLine="720"/>
        <w:outlineLvl w:val="1"/>
      </w:pPr>
      <w:r>
        <w:t>It refers to the inflammation and inflammatory process of the mastoid air cells. Mostly affects the children and occurs together with otitis media. The infection can be acute, chronic or subacute</w:t>
      </w:r>
      <w:r w:rsidR="00345A86">
        <w:t xml:space="preserve"> (</w:t>
      </w:r>
      <w:r w:rsidR="00345A86" w:rsidRPr="005743CD">
        <w:t>Ralston</w:t>
      </w:r>
      <w:r w:rsidR="00345A86">
        <w:t xml:space="preserve"> et al., 2018)</w:t>
      </w:r>
      <w:r>
        <w:t>. Patient presents with fever, localized pain inside or behind the ear which is worse at night and hearing loss may occur depending with severity.</w:t>
      </w:r>
    </w:p>
    <w:p w:rsidR="00F1735F" w:rsidRDefault="00F1735F" w:rsidP="00BC5EF5">
      <w:pPr>
        <w:outlineLvl w:val="1"/>
      </w:pPr>
      <w:r>
        <w:t xml:space="preserve">Pharmacological management: </w:t>
      </w:r>
    </w:p>
    <w:p w:rsidR="00F1735F" w:rsidRDefault="00F1735F" w:rsidP="00BC5EF5">
      <w:pPr>
        <w:outlineLvl w:val="1"/>
      </w:pPr>
      <w:r w:rsidRPr="00E97C50">
        <w:rPr>
          <w:i/>
        </w:rPr>
        <w:t>Ceftriaxone</w:t>
      </w:r>
      <w:r>
        <w:t xml:space="preserve">- It is a third generation cephalosporin that acts by binding to the bacterial cell wall hence inhibiting its activity and eventually causing death. It will therefore kill </w:t>
      </w:r>
      <w:r w:rsidR="00692D4C">
        <w:t>bacteria that cause</w:t>
      </w:r>
      <w:r>
        <w:t xml:space="preserve"> mastoiditis. </w:t>
      </w:r>
    </w:p>
    <w:p w:rsidR="00692D4C" w:rsidRDefault="00692D4C" w:rsidP="00BC5EF5">
      <w:pPr>
        <w:outlineLvl w:val="1"/>
      </w:pPr>
      <w:r w:rsidRPr="00E97C50">
        <w:rPr>
          <w:i/>
        </w:rPr>
        <w:t>Clindamycin-</w:t>
      </w:r>
      <w:r>
        <w:t xml:space="preserve"> It acts by inhibiting protein synthesis in susceptible bacteria at the level of the 50S ribosome hence both bactericidal and bacteriostatic. </w:t>
      </w:r>
      <w:proofErr w:type="gramStart"/>
      <w:r>
        <w:t>Active against bacteria like staphylococci and streptococci which are common.</w:t>
      </w:r>
      <w:proofErr w:type="gramEnd"/>
      <w:r>
        <w:t xml:space="preserve"> </w:t>
      </w:r>
    </w:p>
    <w:p w:rsidR="00692D4C" w:rsidRPr="00692D4C" w:rsidRDefault="00692D4C" w:rsidP="00BC5EF5">
      <w:pPr>
        <w:outlineLvl w:val="1"/>
        <w:rPr>
          <w:b/>
        </w:rPr>
      </w:pPr>
      <w:r w:rsidRPr="00692D4C">
        <w:rPr>
          <w:b/>
        </w:rPr>
        <w:t>Rhinosinusitis</w:t>
      </w:r>
    </w:p>
    <w:p w:rsidR="00692D4C" w:rsidRDefault="00692D4C" w:rsidP="005743CD">
      <w:pPr>
        <w:ind w:firstLine="720"/>
        <w:outlineLvl w:val="1"/>
      </w:pPr>
      <w:r>
        <w:lastRenderedPageBreak/>
        <w:t>It is a condition that is characterized by inflammation of the lining of the paranasal sinuses and the nasal mucosa. It presents with postnasal discharge, blocked nose, pain over the check radiating to frontal region and pharyngeal irritation</w:t>
      </w:r>
      <w:r w:rsidR="00345A86">
        <w:t xml:space="preserve"> (</w:t>
      </w:r>
      <w:r w:rsidR="00345A86" w:rsidRPr="005743CD">
        <w:t>Ralston</w:t>
      </w:r>
      <w:r w:rsidR="00345A86">
        <w:t xml:space="preserve"> et al., 2018)</w:t>
      </w:r>
      <w:r>
        <w:t xml:space="preserve">. </w:t>
      </w:r>
    </w:p>
    <w:p w:rsidR="00692D4C" w:rsidRDefault="00692D4C" w:rsidP="00BC5EF5">
      <w:pPr>
        <w:outlineLvl w:val="1"/>
      </w:pPr>
      <w:r>
        <w:t>Pharmacological management:</w:t>
      </w:r>
    </w:p>
    <w:p w:rsidR="00E97C50" w:rsidRPr="00E97C50" w:rsidRDefault="00E97C50" w:rsidP="00BC5EF5">
      <w:pPr>
        <w:outlineLvl w:val="1"/>
        <w:rPr>
          <w:i/>
        </w:rPr>
      </w:pPr>
      <w:r w:rsidRPr="00E97C50">
        <w:rPr>
          <w:i/>
        </w:rPr>
        <w:t>Penicillin/</w:t>
      </w:r>
      <w:proofErr w:type="spellStart"/>
      <w:r w:rsidRPr="00E97C50">
        <w:rPr>
          <w:i/>
        </w:rPr>
        <w:t>Tazobactam</w:t>
      </w:r>
      <w:proofErr w:type="spellEnd"/>
    </w:p>
    <w:p w:rsidR="000A382D" w:rsidRDefault="000A382D" w:rsidP="00BC5EF5">
      <w:pPr>
        <w:outlineLvl w:val="1"/>
      </w:pPr>
      <w:r w:rsidRPr="00E97C50">
        <w:rPr>
          <w:i/>
        </w:rPr>
        <w:t>Piperacillin:</w:t>
      </w:r>
      <w:r w:rsidRPr="000A382D">
        <w:t xml:space="preserve"> </w:t>
      </w:r>
      <w:r>
        <w:t xml:space="preserve">the drug acts by binding </w:t>
      </w:r>
      <w:r w:rsidRPr="000A382D">
        <w:t>to</w:t>
      </w:r>
      <w:r>
        <w:t xml:space="preserve"> bacterial cell membrane of the microorganism hence </w:t>
      </w:r>
      <w:r w:rsidRPr="000A382D">
        <w:t xml:space="preserve">causing cell death. </w:t>
      </w:r>
      <w:proofErr w:type="spellStart"/>
      <w:r w:rsidRPr="000A382D">
        <w:t>Tazobactam</w:t>
      </w:r>
      <w:proofErr w:type="spellEnd"/>
      <w:r w:rsidRPr="000A382D">
        <w:t xml:space="preserve">: Inhibits beta-lactamase, an enzyme that can destroy </w:t>
      </w:r>
      <w:proofErr w:type="spellStart"/>
      <w:r w:rsidRPr="000A382D">
        <w:t>penicillins</w:t>
      </w:r>
      <w:proofErr w:type="spellEnd"/>
      <w:r>
        <w:t xml:space="preserve"> hence better coverage</w:t>
      </w:r>
      <w:r w:rsidR="00345A86">
        <w:t xml:space="preserve"> (</w:t>
      </w:r>
      <w:proofErr w:type="spellStart"/>
      <w:r w:rsidR="00345A86">
        <w:t>Katzung</w:t>
      </w:r>
      <w:proofErr w:type="spellEnd"/>
      <w:r w:rsidR="00345A86">
        <w:t xml:space="preserve">, </w:t>
      </w:r>
      <w:r w:rsidR="00345A86" w:rsidRPr="005743CD">
        <w:t>2017</w:t>
      </w:r>
      <w:r w:rsidR="00345A86">
        <w:t>)</w:t>
      </w:r>
      <w:r>
        <w:t xml:space="preserve">. </w:t>
      </w:r>
    </w:p>
    <w:p w:rsidR="00692D4C" w:rsidRDefault="000A382D" w:rsidP="00BC5EF5">
      <w:pPr>
        <w:outlineLvl w:val="1"/>
      </w:pPr>
      <w:r w:rsidRPr="00E97C50">
        <w:rPr>
          <w:i/>
        </w:rPr>
        <w:t>Clarithromycin:</w:t>
      </w:r>
      <w:r>
        <w:t xml:space="preserve"> It acts by inhibiting protein synthesis at the level of the 50S bacterial ribosome hence causing death of the bacteria. It is effective against gram positive bacteria that are aerobic like staphylococcus aureus. </w:t>
      </w:r>
    </w:p>
    <w:p w:rsidR="000A382D" w:rsidRDefault="000A382D" w:rsidP="00BC5EF5">
      <w:pPr>
        <w:outlineLvl w:val="1"/>
      </w:pPr>
      <w:r w:rsidRPr="00E97C50">
        <w:rPr>
          <w:i/>
        </w:rPr>
        <w:t>Phenylephrine nasal spray-</w:t>
      </w:r>
      <w:r>
        <w:t>It acts by constricting blood vessels by stimula</w:t>
      </w:r>
      <w:r w:rsidR="00C67437">
        <w:t xml:space="preserve">ting alpha-adrenergic receptors hence acting as a nasal decongestant. </w:t>
      </w:r>
    </w:p>
    <w:p w:rsidR="00706E1E" w:rsidRDefault="00706E1E" w:rsidP="00BC5EF5">
      <w:pPr>
        <w:outlineLvl w:val="1"/>
      </w:pPr>
      <w:r w:rsidRPr="00E97C50">
        <w:rPr>
          <w:i/>
        </w:rPr>
        <w:t>Guaifenesin-</w:t>
      </w:r>
      <w:r w:rsidRPr="00706E1E">
        <w:t xml:space="preserve"> </w:t>
      </w:r>
      <w:r>
        <w:t xml:space="preserve">It acts by reducing the </w:t>
      </w:r>
      <w:r w:rsidRPr="00706E1E">
        <w:t xml:space="preserve">viscosity of tenacious secretions by increasing respiratory </w:t>
      </w:r>
      <w:r>
        <w:t>tract fluid hence mobilizing</w:t>
      </w:r>
      <w:r w:rsidRPr="00706E1E">
        <w:t xml:space="preserve"> and subsequent expectoration of mucus.</w:t>
      </w:r>
    </w:p>
    <w:p w:rsidR="00706E1E" w:rsidRPr="005743CD" w:rsidRDefault="00706E1E" w:rsidP="00BC5EF5">
      <w:pPr>
        <w:outlineLvl w:val="1"/>
        <w:rPr>
          <w:b/>
        </w:rPr>
      </w:pPr>
      <w:r w:rsidRPr="005743CD">
        <w:rPr>
          <w:b/>
        </w:rPr>
        <w:t>Epiglottitis</w:t>
      </w:r>
    </w:p>
    <w:p w:rsidR="00706E1E" w:rsidRDefault="00706E1E" w:rsidP="005743CD">
      <w:pPr>
        <w:ind w:firstLine="720"/>
        <w:outlineLvl w:val="1"/>
      </w:pPr>
      <w:r>
        <w:t xml:space="preserve">It is a condition that involves inflammation of the </w:t>
      </w:r>
      <w:proofErr w:type="spellStart"/>
      <w:r>
        <w:t>supraglottic</w:t>
      </w:r>
      <w:proofErr w:type="spellEnd"/>
      <w:r>
        <w:t xml:space="preserve"> region of the oropharynx with involvement of the epiglottis, </w:t>
      </w:r>
      <w:proofErr w:type="spellStart"/>
      <w:r>
        <w:t>valeculla</w:t>
      </w:r>
      <w:proofErr w:type="spellEnd"/>
      <w:r>
        <w:t xml:space="preserve"> and arytenoid</w:t>
      </w:r>
      <w:r w:rsidR="00345A86">
        <w:t xml:space="preserve"> (</w:t>
      </w:r>
      <w:r w:rsidR="00345A86" w:rsidRPr="005743CD">
        <w:t>Ralston</w:t>
      </w:r>
      <w:r w:rsidR="00345A86">
        <w:t xml:space="preserve"> et al., 2018</w:t>
      </w:r>
      <w:proofErr w:type="gramStart"/>
      <w:r w:rsidR="00345A86">
        <w:t>)</w:t>
      </w:r>
      <w:r>
        <w:t>s</w:t>
      </w:r>
      <w:proofErr w:type="gramEnd"/>
      <w:r>
        <w:t xml:space="preserve">. </w:t>
      </w:r>
    </w:p>
    <w:p w:rsidR="00706E1E" w:rsidRDefault="00706E1E" w:rsidP="00BC5EF5">
      <w:pPr>
        <w:outlineLvl w:val="1"/>
      </w:pPr>
      <w:r>
        <w:t>Pharmacological management:</w:t>
      </w:r>
    </w:p>
    <w:p w:rsidR="00706E1E" w:rsidRDefault="00706E1E" w:rsidP="00BC5EF5">
      <w:pPr>
        <w:outlineLvl w:val="1"/>
      </w:pPr>
      <w:r w:rsidRPr="00E97C50">
        <w:rPr>
          <w:i/>
        </w:rPr>
        <w:t>Ceftriaxone-</w:t>
      </w:r>
      <w:r>
        <w:t xml:space="preserve"> It is a third generation cephalosporin that acts by binding to the bacterial cell wall hence inhibiting its activity and eventually causing death. It will therefore kill bacteria that cause infection</w:t>
      </w:r>
      <w:r w:rsidR="00345A86">
        <w:t xml:space="preserve"> (</w:t>
      </w:r>
      <w:proofErr w:type="spellStart"/>
      <w:r w:rsidR="00345A86">
        <w:t>Katzung</w:t>
      </w:r>
      <w:proofErr w:type="spellEnd"/>
      <w:r w:rsidR="00345A86">
        <w:t xml:space="preserve">, </w:t>
      </w:r>
      <w:r w:rsidR="00345A86" w:rsidRPr="005743CD">
        <w:t>2017</w:t>
      </w:r>
      <w:r w:rsidR="00345A86">
        <w:t>)</w:t>
      </w:r>
      <w:r>
        <w:t>.</w:t>
      </w:r>
    </w:p>
    <w:p w:rsidR="00B46F8B" w:rsidRDefault="005743CD" w:rsidP="00B46F8B">
      <w:pPr>
        <w:outlineLvl w:val="1"/>
      </w:pPr>
      <w:r w:rsidRPr="00E97C50">
        <w:rPr>
          <w:i/>
        </w:rPr>
        <w:lastRenderedPageBreak/>
        <w:t>Aspirin-</w:t>
      </w:r>
      <w:r w:rsidRPr="005743CD">
        <w:t xml:space="preserve"> </w:t>
      </w:r>
      <w:r>
        <w:t xml:space="preserve">It produces analgesia and reduces inflammation and fever by inhibiting synthesis of </w:t>
      </w:r>
      <w:proofErr w:type="spellStart"/>
      <w:r>
        <w:t>prostaglandins.</w:t>
      </w:r>
      <w:proofErr w:type="spellEnd"/>
    </w:p>
    <w:p w:rsidR="00B46F8B" w:rsidRDefault="00B46F8B" w:rsidP="00B46F8B">
      <w:pPr>
        <w:outlineLvl w:val="1"/>
        <w:rPr>
          <w:rFonts w:asciiTheme="majorBidi" w:hAnsiTheme="majorBidi" w:cstheme="majorBidi"/>
          <w:b/>
          <w:sz w:val="22"/>
          <w:szCs w:val="22"/>
        </w:rPr>
      </w:pPr>
      <w:proofErr w:type="spellStart"/>
      <w:r>
        <w:rPr>
          <w:rFonts w:asciiTheme="majorBidi" w:hAnsiTheme="majorBidi" w:cstheme="majorBidi"/>
          <w:b/>
          <w:sz w:val="22"/>
          <w:szCs w:val="22"/>
        </w:rPr>
        <w:t>Laryngotracheobronchitis</w:t>
      </w:r>
      <w:proofErr w:type="spellEnd"/>
    </w:p>
    <w:p w:rsidR="00B46F8B" w:rsidRDefault="00B46F8B" w:rsidP="00B46F8B">
      <w:pPr>
        <w:outlineLvl w:val="1"/>
        <w:rPr>
          <w:rFonts w:asciiTheme="majorBidi" w:hAnsiTheme="majorBidi" w:cstheme="majorBidi"/>
          <w:sz w:val="22"/>
          <w:szCs w:val="22"/>
        </w:rPr>
      </w:pPr>
      <w:r w:rsidRPr="00B46F8B">
        <w:rPr>
          <w:rFonts w:asciiTheme="majorBidi" w:hAnsiTheme="majorBidi" w:cstheme="majorBidi"/>
          <w:sz w:val="22"/>
          <w:szCs w:val="22"/>
        </w:rPr>
        <w:t xml:space="preserve">It refers to the respiratory tract illness that is viral in nature as the causative agent. It is also called croup and more common </w:t>
      </w:r>
      <w:r>
        <w:rPr>
          <w:rFonts w:asciiTheme="majorBidi" w:hAnsiTheme="majorBidi" w:cstheme="majorBidi"/>
          <w:sz w:val="22"/>
          <w:szCs w:val="22"/>
        </w:rPr>
        <w:t xml:space="preserve">among the </w:t>
      </w:r>
      <w:proofErr w:type="spellStart"/>
      <w:r>
        <w:rPr>
          <w:rFonts w:asciiTheme="majorBidi" w:hAnsiTheme="majorBidi" w:cstheme="majorBidi"/>
          <w:sz w:val="22"/>
          <w:szCs w:val="22"/>
        </w:rPr>
        <w:t>pediatriac</w:t>
      </w:r>
      <w:proofErr w:type="spellEnd"/>
      <w:r>
        <w:rPr>
          <w:rFonts w:asciiTheme="majorBidi" w:hAnsiTheme="majorBidi" w:cstheme="majorBidi"/>
          <w:sz w:val="22"/>
          <w:szCs w:val="22"/>
        </w:rPr>
        <w:t xml:space="preserve"> population. </w:t>
      </w:r>
      <w:proofErr w:type="gramStart"/>
      <w:r>
        <w:rPr>
          <w:rFonts w:asciiTheme="majorBidi" w:hAnsiTheme="majorBidi" w:cstheme="majorBidi"/>
          <w:sz w:val="22"/>
          <w:szCs w:val="22"/>
        </w:rPr>
        <w:t>Most common for hoarseness, cough and acute stridor onset.</w:t>
      </w:r>
      <w:proofErr w:type="gramEnd"/>
      <w:r>
        <w:rPr>
          <w:rFonts w:asciiTheme="majorBidi" w:hAnsiTheme="majorBidi" w:cstheme="majorBidi"/>
          <w:sz w:val="22"/>
          <w:szCs w:val="22"/>
        </w:rPr>
        <w:t xml:space="preserve"> The cough is barking-like in nature. </w:t>
      </w:r>
    </w:p>
    <w:p w:rsidR="00B46F8B" w:rsidRDefault="00B46F8B" w:rsidP="00B46F8B">
      <w:pPr>
        <w:outlineLvl w:val="1"/>
        <w:rPr>
          <w:rFonts w:asciiTheme="majorBidi" w:hAnsiTheme="majorBidi" w:cstheme="majorBidi"/>
          <w:sz w:val="22"/>
          <w:szCs w:val="22"/>
        </w:rPr>
      </w:pPr>
      <w:r>
        <w:rPr>
          <w:rFonts w:asciiTheme="majorBidi" w:hAnsiTheme="majorBidi" w:cstheme="majorBidi"/>
          <w:sz w:val="22"/>
          <w:szCs w:val="22"/>
        </w:rPr>
        <w:t>Pharmacological management:</w:t>
      </w:r>
    </w:p>
    <w:p w:rsidR="00B46F8B" w:rsidRDefault="00B46F8B" w:rsidP="00B46F8B">
      <w:pPr>
        <w:outlineLvl w:val="1"/>
      </w:pPr>
      <w:r w:rsidRPr="00D015EB">
        <w:rPr>
          <w:rFonts w:asciiTheme="majorBidi" w:hAnsiTheme="majorBidi" w:cstheme="majorBidi"/>
          <w:i/>
          <w:sz w:val="22"/>
          <w:szCs w:val="22"/>
        </w:rPr>
        <w:t>Dexamethasone-</w:t>
      </w:r>
      <w:r>
        <w:rPr>
          <w:rFonts w:asciiTheme="majorBidi" w:hAnsiTheme="majorBidi" w:cstheme="majorBidi"/>
          <w:sz w:val="22"/>
          <w:szCs w:val="22"/>
        </w:rPr>
        <w:t xml:space="preserve"> Acts by suppressing </w:t>
      </w:r>
      <w:r>
        <w:t xml:space="preserve">suppresses inflammation </w:t>
      </w:r>
      <w:r>
        <w:t>and the normal immune response hence reducing the effects of the dis</w:t>
      </w:r>
      <w:bookmarkStart w:id="0" w:name="_GoBack"/>
      <w:bookmarkEnd w:id="0"/>
      <w:r>
        <w:t xml:space="preserve">ease. </w:t>
      </w:r>
    </w:p>
    <w:p w:rsidR="00D015EB" w:rsidRDefault="00D015EB" w:rsidP="00B46F8B">
      <w:pPr>
        <w:outlineLvl w:val="1"/>
        <w:rPr>
          <w:rFonts w:asciiTheme="majorBidi" w:hAnsiTheme="majorBidi" w:cstheme="majorBidi"/>
          <w:sz w:val="22"/>
          <w:szCs w:val="22"/>
        </w:rPr>
      </w:pPr>
      <w:r w:rsidRPr="00D015EB">
        <w:rPr>
          <w:i/>
        </w:rPr>
        <w:t>Epinephrine-</w:t>
      </w:r>
      <w:r>
        <w:t xml:space="preserve"> </w:t>
      </w:r>
      <w:r>
        <w:t>Results in the accumulation of cyclic adenosine monophosphate (</w:t>
      </w:r>
      <w:proofErr w:type="spellStart"/>
      <w:r>
        <w:t>cAMP</w:t>
      </w:r>
      <w:proofErr w:type="spellEnd"/>
      <w:r>
        <w:t xml:space="preserve">) at beta-adrenergic receptors. Affects both </w:t>
      </w:r>
      <w:proofErr w:type="gramStart"/>
      <w:r>
        <w:t>beta1(</w:t>
      </w:r>
      <w:proofErr w:type="gramEnd"/>
      <w:r>
        <w:t xml:space="preserve">cardiac)-adrenergic receptors and beta2(pulmonary)-adrenergic receptor sites. </w:t>
      </w:r>
      <w:proofErr w:type="gramStart"/>
      <w:r>
        <w:t>Produces bronchodilation.</w:t>
      </w:r>
      <w:proofErr w:type="gramEnd"/>
      <w:r>
        <w:t xml:space="preserve"> Also </w:t>
      </w:r>
      <w:proofErr w:type="gramStart"/>
      <w:r>
        <w:t>has</w:t>
      </w:r>
      <w:proofErr w:type="gramEnd"/>
      <w:r>
        <w:t xml:space="preserve"> alpha-adrenergic agonist properties, which result in vasoconstriction. </w:t>
      </w:r>
      <w:proofErr w:type="gramStart"/>
      <w:r>
        <w:t>Inhibits the release of mediators of immediate hypersensitiv</w:t>
      </w:r>
      <w:r>
        <w:t>ity reactions from mast cells.</w:t>
      </w:r>
      <w:proofErr w:type="gramEnd"/>
    </w:p>
    <w:p w:rsidR="00B46F8B" w:rsidRPr="00B46F8B" w:rsidRDefault="00B46F8B" w:rsidP="00B46F8B">
      <w:pPr>
        <w:outlineLvl w:val="1"/>
      </w:pPr>
    </w:p>
    <w:p w:rsidR="00B46F8B" w:rsidRDefault="00B46F8B" w:rsidP="00BC5EF5">
      <w:pPr>
        <w:outlineLvl w:val="1"/>
      </w:pPr>
    </w:p>
    <w:p w:rsidR="00B46F8B" w:rsidRDefault="00B46F8B" w:rsidP="00BC5EF5">
      <w:pPr>
        <w:outlineLvl w:val="1"/>
      </w:pPr>
    </w:p>
    <w:p w:rsidR="00E97C50" w:rsidRDefault="00E97C50" w:rsidP="00345A86">
      <w:pPr>
        <w:jc w:val="center"/>
        <w:outlineLvl w:val="1"/>
        <w:rPr>
          <w:b/>
        </w:rPr>
      </w:pPr>
    </w:p>
    <w:p w:rsidR="00E97C50" w:rsidRDefault="00E97C50" w:rsidP="00345A86">
      <w:pPr>
        <w:jc w:val="center"/>
        <w:outlineLvl w:val="1"/>
        <w:rPr>
          <w:b/>
        </w:rPr>
      </w:pPr>
    </w:p>
    <w:p w:rsidR="00E97C50" w:rsidRDefault="00E97C50" w:rsidP="00345A86">
      <w:pPr>
        <w:jc w:val="center"/>
        <w:outlineLvl w:val="1"/>
        <w:rPr>
          <w:b/>
        </w:rPr>
      </w:pPr>
    </w:p>
    <w:p w:rsidR="00E97C50" w:rsidRDefault="00E97C50" w:rsidP="00345A86">
      <w:pPr>
        <w:jc w:val="center"/>
        <w:outlineLvl w:val="1"/>
        <w:rPr>
          <w:b/>
        </w:rPr>
      </w:pPr>
    </w:p>
    <w:p w:rsidR="00E97C50" w:rsidRDefault="00E97C50" w:rsidP="00345A86">
      <w:pPr>
        <w:jc w:val="center"/>
        <w:outlineLvl w:val="1"/>
        <w:rPr>
          <w:b/>
        </w:rPr>
      </w:pPr>
    </w:p>
    <w:p w:rsidR="00E97C50" w:rsidRDefault="00E97C50" w:rsidP="00345A86">
      <w:pPr>
        <w:jc w:val="center"/>
        <w:outlineLvl w:val="1"/>
        <w:rPr>
          <w:b/>
        </w:rPr>
      </w:pPr>
    </w:p>
    <w:p w:rsidR="00E97C50" w:rsidRDefault="00E97C50" w:rsidP="00345A86">
      <w:pPr>
        <w:jc w:val="center"/>
        <w:outlineLvl w:val="1"/>
        <w:rPr>
          <w:b/>
        </w:rPr>
      </w:pPr>
    </w:p>
    <w:p w:rsidR="00E97C50" w:rsidRDefault="00E97C50" w:rsidP="00345A86">
      <w:pPr>
        <w:jc w:val="center"/>
        <w:outlineLvl w:val="1"/>
        <w:rPr>
          <w:b/>
        </w:rPr>
      </w:pPr>
    </w:p>
    <w:p w:rsidR="00E97C50" w:rsidRDefault="00E97C50" w:rsidP="00345A86">
      <w:pPr>
        <w:jc w:val="center"/>
        <w:outlineLvl w:val="1"/>
        <w:rPr>
          <w:b/>
        </w:rPr>
      </w:pPr>
    </w:p>
    <w:p w:rsidR="00E97C50" w:rsidRDefault="00E97C50" w:rsidP="00345A86">
      <w:pPr>
        <w:jc w:val="center"/>
        <w:outlineLvl w:val="1"/>
        <w:rPr>
          <w:b/>
        </w:rPr>
      </w:pPr>
    </w:p>
    <w:p w:rsidR="00E97C50" w:rsidRDefault="00E97C50" w:rsidP="00345A86">
      <w:pPr>
        <w:jc w:val="center"/>
        <w:outlineLvl w:val="1"/>
        <w:rPr>
          <w:b/>
        </w:rPr>
      </w:pPr>
    </w:p>
    <w:p w:rsidR="00E97C50" w:rsidRDefault="00E97C50" w:rsidP="00345A86">
      <w:pPr>
        <w:jc w:val="center"/>
        <w:outlineLvl w:val="1"/>
        <w:rPr>
          <w:b/>
        </w:rPr>
      </w:pPr>
    </w:p>
    <w:p w:rsidR="00E97C50" w:rsidRDefault="00E97C50" w:rsidP="00345A86">
      <w:pPr>
        <w:jc w:val="center"/>
        <w:outlineLvl w:val="1"/>
        <w:rPr>
          <w:b/>
        </w:rPr>
      </w:pPr>
    </w:p>
    <w:p w:rsidR="00E97C50" w:rsidRDefault="00E97C50" w:rsidP="00345A86">
      <w:pPr>
        <w:jc w:val="center"/>
        <w:outlineLvl w:val="1"/>
        <w:rPr>
          <w:b/>
        </w:rPr>
      </w:pPr>
    </w:p>
    <w:p w:rsidR="00E97C50" w:rsidRDefault="00E97C50" w:rsidP="00345A86">
      <w:pPr>
        <w:jc w:val="center"/>
        <w:outlineLvl w:val="1"/>
        <w:rPr>
          <w:b/>
        </w:rPr>
      </w:pPr>
    </w:p>
    <w:p w:rsidR="00E97C50" w:rsidRDefault="00E97C50" w:rsidP="00345A86">
      <w:pPr>
        <w:jc w:val="center"/>
        <w:outlineLvl w:val="1"/>
        <w:rPr>
          <w:b/>
        </w:rPr>
      </w:pPr>
    </w:p>
    <w:p w:rsidR="00E97C50" w:rsidRDefault="00E97C50" w:rsidP="00345A86">
      <w:pPr>
        <w:jc w:val="center"/>
        <w:outlineLvl w:val="1"/>
        <w:rPr>
          <w:b/>
        </w:rPr>
      </w:pPr>
    </w:p>
    <w:p w:rsidR="00E97C50" w:rsidRDefault="00E97C50" w:rsidP="00345A86">
      <w:pPr>
        <w:jc w:val="center"/>
        <w:outlineLvl w:val="1"/>
        <w:rPr>
          <w:b/>
        </w:rPr>
      </w:pPr>
    </w:p>
    <w:p w:rsidR="00E97C50" w:rsidRDefault="00E97C50" w:rsidP="00345A86">
      <w:pPr>
        <w:jc w:val="center"/>
        <w:outlineLvl w:val="1"/>
        <w:rPr>
          <w:b/>
        </w:rPr>
      </w:pPr>
    </w:p>
    <w:p w:rsidR="00E97C50" w:rsidRDefault="00E97C50" w:rsidP="00345A86">
      <w:pPr>
        <w:jc w:val="center"/>
        <w:outlineLvl w:val="1"/>
        <w:rPr>
          <w:b/>
        </w:rPr>
      </w:pPr>
    </w:p>
    <w:p w:rsidR="00E97C50" w:rsidRDefault="00E97C50" w:rsidP="00345A86">
      <w:pPr>
        <w:jc w:val="center"/>
        <w:outlineLvl w:val="1"/>
        <w:rPr>
          <w:b/>
        </w:rPr>
      </w:pPr>
    </w:p>
    <w:p w:rsidR="005743CD" w:rsidRPr="00345A86" w:rsidRDefault="005743CD" w:rsidP="00345A86">
      <w:pPr>
        <w:jc w:val="center"/>
        <w:outlineLvl w:val="1"/>
        <w:rPr>
          <w:b/>
        </w:rPr>
      </w:pPr>
      <w:r w:rsidRPr="00345A86">
        <w:rPr>
          <w:b/>
        </w:rPr>
        <w:t>References</w:t>
      </w:r>
    </w:p>
    <w:p w:rsidR="00345A86" w:rsidRDefault="00345A86" w:rsidP="00345A86">
      <w:pPr>
        <w:ind w:left="720" w:hanging="720"/>
        <w:outlineLvl w:val="1"/>
      </w:pPr>
      <w:proofErr w:type="spellStart"/>
      <w:r w:rsidRPr="005743CD">
        <w:t>Katzung</w:t>
      </w:r>
      <w:proofErr w:type="spellEnd"/>
      <w:r w:rsidRPr="005743CD">
        <w:t>, B. G. (2017). </w:t>
      </w:r>
      <w:proofErr w:type="gramStart"/>
      <w:r w:rsidRPr="005743CD">
        <w:rPr>
          <w:i/>
          <w:iCs/>
        </w:rPr>
        <w:t>Basic and Clinical Pharmacology 14th Edition</w:t>
      </w:r>
      <w:r w:rsidRPr="005743CD">
        <w:t>.</w:t>
      </w:r>
      <w:proofErr w:type="gramEnd"/>
      <w:r w:rsidRPr="005743CD">
        <w:t xml:space="preserve"> </w:t>
      </w:r>
      <w:proofErr w:type="gramStart"/>
      <w:r w:rsidRPr="005743CD">
        <w:t>McGraw Hill Professional.</w:t>
      </w:r>
      <w:proofErr w:type="gramEnd"/>
    </w:p>
    <w:p w:rsidR="00345A86" w:rsidRDefault="00345A86" w:rsidP="00345A86">
      <w:pPr>
        <w:ind w:left="720" w:hanging="720"/>
        <w:outlineLvl w:val="1"/>
      </w:pPr>
      <w:proofErr w:type="gramStart"/>
      <w:r w:rsidRPr="005743CD">
        <w:t>Ralston, S. H., Penman, I. D., Strachan, M. W., &amp; Hobson, R. (Eds.).</w:t>
      </w:r>
      <w:proofErr w:type="gramEnd"/>
      <w:r w:rsidRPr="005743CD">
        <w:t xml:space="preserve"> </w:t>
      </w:r>
      <w:proofErr w:type="gramStart"/>
      <w:r w:rsidRPr="005743CD">
        <w:t>(2018). </w:t>
      </w:r>
      <w:r w:rsidRPr="005743CD">
        <w:rPr>
          <w:i/>
          <w:iCs/>
        </w:rPr>
        <w:t>Davidson's Principles and Practice of Medicine E-Book</w:t>
      </w:r>
      <w:r w:rsidRPr="005743CD">
        <w:t>.</w:t>
      </w:r>
      <w:proofErr w:type="gramEnd"/>
      <w:r w:rsidRPr="005743CD">
        <w:t xml:space="preserve"> </w:t>
      </w:r>
      <w:proofErr w:type="gramStart"/>
      <w:r w:rsidRPr="005743CD">
        <w:t>Elsevier Health Sciences.</w:t>
      </w:r>
      <w:proofErr w:type="gramEnd"/>
    </w:p>
    <w:p w:rsidR="00345A86" w:rsidRDefault="00345A86" w:rsidP="00345A86">
      <w:pPr>
        <w:ind w:left="720" w:hanging="720"/>
        <w:outlineLvl w:val="1"/>
      </w:pPr>
      <w:r w:rsidRPr="005743CD">
        <w:t>Watkins, C. J. (2018). </w:t>
      </w:r>
      <w:r w:rsidRPr="005743CD">
        <w:rPr>
          <w:i/>
          <w:iCs/>
        </w:rPr>
        <w:t>Pharmacology Clear &amp; Simple: A Guide to Drug Classifications and Dosage Calculations</w:t>
      </w:r>
      <w:r w:rsidRPr="005743CD">
        <w:t>. FA Davis.</w:t>
      </w:r>
    </w:p>
    <w:p w:rsidR="005743CD" w:rsidRDefault="005743CD" w:rsidP="00BC5EF5">
      <w:pPr>
        <w:outlineLvl w:val="1"/>
      </w:pPr>
    </w:p>
    <w:p w:rsidR="00706E1E" w:rsidRPr="00706E1E" w:rsidRDefault="00706E1E" w:rsidP="00BC5EF5">
      <w:pPr>
        <w:outlineLvl w:val="1"/>
      </w:pPr>
    </w:p>
    <w:p w:rsidR="00692D4C" w:rsidRDefault="00692D4C" w:rsidP="00BC5EF5">
      <w:pPr>
        <w:outlineLvl w:val="1"/>
      </w:pPr>
      <w:r>
        <w:lastRenderedPageBreak/>
        <w:t xml:space="preserve"> </w:t>
      </w:r>
    </w:p>
    <w:p w:rsidR="00F1735F" w:rsidRDefault="00F1735F" w:rsidP="00BC5EF5">
      <w:pPr>
        <w:outlineLvl w:val="1"/>
      </w:pPr>
    </w:p>
    <w:p w:rsidR="00F1735F" w:rsidRDefault="00F1735F" w:rsidP="00BC5EF5">
      <w:pPr>
        <w:outlineLvl w:val="1"/>
      </w:pPr>
    </w:p>
    <w:p w:rsidR="00574BD8" w:rsidRDefault="00574BD8" w:rsidP="00BC5EF5">
      <w:pPr>
        <w:outlineLvl w:val="1"/>
      </w:pPr>
    </w:p>
    <w:p w:rsidR="000B47BA" w:rsidRPr="00BC5EF5" w:rsidRDefault="000B47BA" w:rsidP="00BC5EF5">
      <w:pPr>
        <w:outlineLvl w:val="1"/>
      </w:pPr>
    </w:p>
    <w:p w:rsidR="00BC5EF5" w:rsidRDefault="00BC5EF5" w:rsidP="00BC5EF5">
      <w:pPr>
        <w:rPr>
          <w:rFonts w:eastAsia="Times New Roman"/>
        </w:rPr>
      </w:pPr>
    </w:p>
    <w:p w:rsidR="00B975AB" w:rsidRDefault="00B975AB" w:rsidP="007937B0"/>
    <w:sectPr w:rsidR="00B975AB" w:rsidSect="00BF6C61">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1F97" w:rsidRDefault="009F1F97" w:rsidP="00E97C50">
      <w:pPr>
        <w:spacing w:line="240" w:lineRule="auto"/>
      </w:pPr>
      <w:r>
        <w:separator/>
      </w:r>
    </w:p>
  </w:endnote>
  <w:endnote w:type="continuationSeparator" w:id="0">
    <w:p w:rsidR="009F1F97" w:rsidRDefault="009F1F97" w:rsidP="00E97C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1F97" w:rsidRDefault="009F1F97" w:rsidP="00E97C50">
      <w:pPr>
        <w:spacing w:line="240" w:lineRule="auto"/>
      </w:pPr>
      <w:r>
        <w:separator/>
      </w:r>
    </w:p>
  </w:footnote>
  <w:footnote w:type="continuationSeparator" w:id="0">
    <w:p w:rsidR="009F1F97" w:rsidRDefault="009F1F97" w:rsidP="00E97C5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5209397"/>
      <w:docPartObj>
        <w:docPartGallery w:val="Page Numbers (Top of Page)"/>
        <w:docPartUnique/>
      </w:docPartObj>
    </w:sdtPr>
    <w:sdtEndPr>
      <w:rPr>
        <w:noProof/>
      </w:rPr>
    </w:sdtEndPr>
    <w:sdtContent>
      <w:p w:rsidR="00E97C50" w:rsidRDefault="00E97C50">
        <w:pPr>
          <w:pStyle w:val="Header"/>
          <w:jc w:val="right"/>
        </w:pPr>
        <w:r>
          <w:fldChar w:fldCharType="begin"/>
        </w:r>
        <w:r>
          <w:instrText xml:space="preserve"> PAGE   \* MERGEFORMAT </w:instrText>
        </w:r>
        <w:r>
          <w:fldChar w:fldCharType="separate"/>
        </w:r>
        <w:r w:rsidR="00D015EB">
          <w:rPr>
            <w:noProof/>
          </w:rPr>
          <w:t>7</w:t>
        </w:r>
        <w:r>
          <w:rPr>
            <w:noProof/>
          </w:rPr>
          <w:fldChar w:fldCharType="end"/>
        </w:r>
      </w:p>
    </w:sdtContent>
  </w:sdt>
  <w:p w:rsidR="00E97C50" w:rsidRDefault="00E97C5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B71A7"/>
    <w:multiLevelType w:val="hybridMultilevel"/>
    <w:tmpl w:val="3DF06C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41C31EF6"/>
    <w:multiLevelType w:val="multilevel"/>
    <w:tmpl w:val="FDE86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31EA"/>
    <w:rsid w:val="00064EAF"/>
    <w:rsid w:val="000A382D"/>
    <w:rsid w:val="000B47BA"/>
    <w:rsid w:val="001352BC"/>
    <w:rsid w:val="00340970"/>
    <w:rsid w:val="00345A86"/>
    <w:rsid w:val="003B51BC"/>
    <w:rsid w:val="003F598A"/>
    <w:rsid w:val="00416F35"/>
    <w:rsid w:val="0048034F"/>
    <w:rsid w:val="004A15B7"/>
    <w:rsid w:val="004D7E18"/>
    <w:rsid w:val="00520B56"/>
    <w:rsid w:val="00560059"/>
    <w:rsid w:val="005743CD"/>
    <w:rsid w:val="00574BD8"/>
    <w:rsid w:val="00591ACD"/>
    <w:rsid w:val="00616611"/>
    <w:rsid w:val="00692D4C"/>
    <w:rsid w:val="00706E1E"/>
    <w:rsid w:val="007937B0"/>
    <w:rsid w:val="00876F7E"/>
    <w:rsid w:val="00964C07"/>
    <w:rsid w:val="00967D29"/>
    <w:rsid w:val="009F1F97"/>
    <w:rsid w:val="00AA31EA"/>
    <w:rsid w:val="00AE793E"/>
    <w:rsid w:val="00B46F8B"/>
    <w:rsid w:val="00B922EF"/>
    <w:rsid w:val="00B975AB"/>
    <w:rsid w:val="00BC5EF5"/>
    <w:rsid w:val="00BD36A6"/>
    <w:rsid w:val="00BF6C61"/>
    <w:rsid w:val="00C67437"/>
    <w:rsid w:val="00CA25BF"/>
    <w:rsid w:val="00CE58B9"/>
    <w:rsid w:val="00D015EB"/>
    <w:rsid w:val="00DB00BF"/>
    <w:rsid w:val="00E97C50"/>
    <w:rsid w:val="00F1735F"/>
    <w:rsid w:val="00F20412"/>
    <w:rsid w:val="00F92813"/>
    <w:rsid w:val="00F9378A"/>
    <w:rsid w:val="00FB10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Arial"/>
        <w:sz w:val="24"/>
        <w:szCs w:val="27"/>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style>
  <w:style w:type="paragraph" w:styleId="Heading1">
    <w:name w:val="heading 1"/>
    <w:basedOn w:val="Normal"/>
    <w:next w:val="Normal"/>
    <w:link w:val="Heading1Char"/>
    <w:uiPriority w:val="9"/>
    <w:qFormat/>
    <w:rsid w:val="000A382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BC5EF5"/>
    <w:pPr>
      <w:spacing w:before="100" w:beforeAutospacing="1" w:after="100" w:afterAutospacing="1" w:line="240" w:lineRule="auto"/>
      <w:outlineLvl w:val="1"/>
    </w:pPr>
    <w:rPr>
      <w:rFonts w:eastAsia="Times New Roman"/>
      <w:b/>
      <w:bCs/>
      <w:sz w:val="36"/>
      <w:szCs w:val="36"/>
    </w:rPr>
  </w:style>
  <w:style w:type="paragraph" w:styleId="Heading3">
    <w:name w:val="heading 3"/>
    <w:basedOn w:val="Normal"/>
    <w:next w:val="Normal"/>
    <w:link w:val="Heading3Char"/>
    <w:uiPriority w:val="9"/>
    <w:semiHidden/>
    <w:unhideWhenUsed/>
    <w:qFormat/>
    <w:rsid w:val="0034097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64EAF"/>
    <w:pPr>
      <w:autoSpaceDE w:val="0"/>
      <w:autoSpaceDN w:val="0"/>
      <w:adjustRightInd w:val="0"/>
      <w:spacing w:line="240" w:lineRule="auto"/>
    </w:pPr>
    <w:rPr>
      <w:color w:val="000000"/>
    </w:rPr>
  </w:style>
  <w:style w:type="character" w:customStyle="1" w:styleId="Heading2Char">
    <w:name w:val="Heading 2 Char"/>
    <w:basedOn w:val="DefaultParagraphFont"/>
    <w:link w:val="Heading2"/>
    <w:uiPriority w:val="9"/>
    <w:rsid w:val="00BC5EF5"/>
    <w:rPr>
      <w:rFonts w:eastAsia="Times New Roman"/>
      <w:b/>
      <w:bCs/>
      <w:sz w:val="36"/>
      <w:szCs w:val="36"/>
    </w:rPr>
  </w:style>
  <w:style w:type="character" w:styleId="Hyperlink">
    <w:name w:val="Hyperlink"/>
    <w:basedOn w:val="DefaultParagraphFont"/>
    <w:uiPriority w:val="99"/>
    <w:semiHidden/>
    <w:unhideWhenUsed/>
    <w:rsid w:val="00BC5EF5"/>
    <w:rPr>
      <w:color w:val="0000FF"/>
      <w:u w:val="single"/>
    </w:rPr>
  </w:style>
  <w:style w:type="character" w:customStyle="1" w:styleId="Heading3Char">
    <w:name w:val="Heading 3 Char"/>
    <w:basedOn w:val="DefaultParagraphFont"/>
    <w:link w:val="Heading3"/>
    <w:uiPriority w:val="9"/>
    <w:semiHidden/>
    <w:rsid w:val="00340970"/>
    <w:rPr>
      <w:rFonts w:asciiTheme="majorHAnsi" w:eastAsiaTheme="majorEastAsia" w:hAnsiTheme="majorHAnsi" w:cstheme="majorBidi"/>
      <w:b/>
      <w:bCs/>
      <w:color w:val="4F81BD" w:themeColor="accent1"/>
    </w:rPr>
  </w:style>
  <w:style w:type="character" w:customStyle="1" w:styleId="Heading1Char">
    <w:name w:val="Heading 1 Char"/>
    <w:basedOn w:val="DefaultParagraphFont"/>
    <w:link w:val="Heading1"/>
    <w:uiPriority w:val="9"/>
    <w:rsid w:val="000A382D"/>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5743C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43CD"/>
    <w:rPr>
      <w:rFonts w:ascii="Tahoma" w:hAnsi="Tahoma" w:cs="Tahoma"/>
      <w:sz w:val="16"/>
      <w:szCs w:val="16"/>
    </w:rPr>
  </w:style>
  <w:style w:type="paragraph" w:styleId="Header">
    <w:name w:val="header"/>
    <w:basedOn w:val="Normal"/>
    <w:link w:val="HeaderChar"/>
    <w:uiPriority w:val="99"/>
    <w:unhideWhenUsed/>
    <w:rsid w:val="00E97C50"/>
    <w:pPr>
      <w:tabs>
        <w:tab w:val="center" w:pos="4680"/>
        <w:tab w:val="right" w:pos="9360"/>
      </w:tabs>
      <w:spacing w:line="240" w:lineRule="auto"/>
    </w:pPr>
  </w:style>
  <w:style w:type="character" w:customStyle="1" w:styleId="HeaderChar">
    <w:name w:val="Header Char"/>
    <w:basedOn w:val="DefaultParagraphFont"/>
    <w:link w:val="Header"/>
    <w:uiPriority w:val="99"/>
    <w:rsid w:val="00E97C50"/>
  </w:style>
  <w:style w:type="paragraph" w:styleId="Footer">
    <w:name w:val="footer"/>
    <w:basedOn w:val="Normal"/>
    <w:link w:val="FooterChar"/>
    <w:uiPriority w:val="99"/>
    <w:unhideWhenUsed/>
    <w:rsid w:val="00E97C50"/>
    <w:pPr>
      <w:tabs>
        <w:tab w:val="center" w:pos="4680"/>
        <w:tab w:val="right" w:pos="9360"/>
      </w:tabs>
      <w:spacing w:line="240" w:lineRule="auto"/>
    </w:pPr>
  </w:style>
  <w:style w:type="character" w:customStyle="1" w:styleId="FooterChar">
    <w:name w:val="Footer Char"/>
    <w:basedOn w:val="DefaultParagraphFont"/>
    <w:link w:val="Footer"/>
    <w:uiPriority w:val="99"/>
    <w:rsid w:val="00E97C5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Arial"/>
        <w:sz w:val="24"/>
        <w:szCs w:val="27"/>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style>
  <w:style w:type="paragraph" w:styleId="Heading1">
    <w:name w:val="heading 1"/>
    <w:basedOn w:val="Normal"/>
    <w:next w:val="Normal"/>
    <w:link w:val="Heading1Char"/>
    <w:uiPriority w:val="9"/>
    <w:qFormat/>
    <w:rsid w:val="000A382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BC5EF5"/>
    <w:pPr>
      <w:spacing w:before="100" w:beforeAutospacing="1" w:after="100" w:afterAutospacing="1" w:line="240" w:lineRule="auto"/>
      <w:outlineLvl w:val="1"/>
    </w:pPr>
    <w:rPr>
      <w:rFonts w:eastAsia="Times New Roman"/>
      <w:b/>
      <w:bCs/>
      <w:sz w:val="36"/>
      <w:szCs w:val="36"/>
    </w:rPr>
  </w:style>
  <w:style w:type="paragraph" w:styleId="Heading3">
    <w:name w:val="heading 3"/>
    <w:basedOn w:val="Normal"/>
    <w:next w:val="Normal"/>
    <w:link w:val="Heading3Char"/>
    <w:uiPriority w:val="9"/>
    <w:semiHidden/>
    <w:unhideWhenUsed/>
    <w:qFormat/>
    <w:rsid w:val="0034097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64EAF"/>
    <w:pPr>
      <w:autoSpaceDE w:val="0"/>
      <w:autoSpaceDN w:val="0"/>
      <w:adjustRightInd w:val="0"/>
      <w:spacing w:line="240" w:lineRule="auto"/>
    </w:pPr>
    <w:rPr>
      <w:color w:val="000000"/>
    </w:rPr>
  </w:style>
  <w:style w:type="character" w:customStyle="1" w:styleId="Heading2Char">
    <w:name w:val="Heading 2 Char"/>
    <w:basedOn w:val="DefaultParagraphFont"/>
    <w:link w:val="Heading2"/>
    <w:uiPriority w:val="9"/>
    <w:rsid w:val="00BC5EF5"/>
    <w:rPr>
      <w:rFonts w:eastAsia="Times New Roman"/>
      <w:b/>
      <w:bCs/>
      <w:sz w:val="36"/>
      <w:szCs w:val="36"/>
    </w:rPr>
  </w:style>
  <w:style w:type="character" w:styleId="Hyperlink">
    <w:name w:val="Hyperlink"/>
    <w:basedOn w:val="DefaultParagraphFont"/>
    <w:uiPriority w:val="99"/>
    <w:semiHidden/>
    <w:unhideWhenUsed/>
    <w:rsid w:val="00BC5EF5"/>
    <w:rPr>
      <w:color w:val="0000FF"/>
      <w:u w:val="single"/>
    </w:rPr>
  </w:style>
  <w:style w:type="character" w:customStyle="1" w:styleId="Heading3Char">
    <w:name w:val="Heading 3 Char"/>
    <w:basedOn w:val="DefaultParagraphFont"/>
    <w:link w:val="Heading3"/>
    <w:uiPriority w:val="9"/>
    <w:semiHidden/>
    <w:rsid w:val="00340970"/>
    <w:rPr>
      <w:rFonts w:asciiTheme="majorHAnsi" w:eastAsiaTheme="majorEastAsia" w:hAnsiTheme="majorHAnsi" w:cstheme="majorBidi"/>
      <w:b/>
      <w:bCs/>
      <w:color w:val="4F81BD" w:themeColor="accent1"/>
    </w:rPr>
  </w:style>
  <w:style w:type="character" w:customStyle="1" w:styleId="Heading1Char">
    <w:name w:val="Heading 1 Char"/>
    <w:basedOn w:val="DefaultParagraphFont"/>
    <w:link w:val="Heading1"/>
    <w:uiPriority w:val="9"/>
    <w:rsid w:val="000A382D"/>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5743C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43CD"/>
    <w:rPr>
      <w:rFonts w:ascii="Tahoma" w:hAnsi="Tahoma" w:cs="Tahoma"/>
      <w:sz w:val="16"/>
      <w:szCs w:val="16"/>
    </w:rPr>
  </w:style>
  <w:style w:type="paragraph" w:styleId="Header">
    <w:name w:val="header"/>
    <w:basedOn w:val="Normal"/>
    <w:link w:val="HeaderChar"/>
    <w:uiPriority w:val="99"/>
    <w:unhideWhenUsed/>
    <w:rsid w:val="00E97C50"/>
    <w:pPr>
      <w:tabs>
        <w:tab w:val="center" w:pos="4680"/>
        <w:tab w:val="right" w:pos="9360"/>
      </w:tabs>
      <w:spacing w:line="240" w:lineRule="auto"/>
    </w:pPr>
  </w:style>
  <w:style w:type="character" w:customStyle="1" w:styleId="HeaderChar">
    <w:name w:val="Header Char"/>
    <w:basedOn w:val="DefaultParagraphFont"/>
    <w:link w:val="Header"/>
    <w:uiPriority w:val="99"/>
    <w:rsid w:val="00E97C50"/>
  </w:style>
  <w:style w:type="paragraph" w:styleId="Footer">
    <w:name w:val="footer"/>
    <w:basedOn w:val="Normal"/>
    <w:link w:val="FooterChar"/>
    <w:uiPriority w:val="99"/>
    <w:unhideWhenUsed/>
    <w:rsid w:val="00E97C50"/>
    <w:pPr>
      <w:tabs>
        <w:tab w:val="center" w:pos="4680"/>
        <w:tab w:val="right" w:pos="9360"/>
      </w:tabs>
      <w:spacing w:line="240" w:lineRule="auto"/>
    </w:pPr>
  </w:style>
  <w:style w:type="character" w:customStyle="1" w:styleId="FooterChar">
    <w:name w:val="Footer Char"/>
    <w:basedOn w:val="DefaultParagraphFont"/>
    <w:link w:val="Footer"/>
    <w:uiPriority w:val="99"/>
    <w:rsid w:val="00E97C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658695">
      <w:bodyDiv w:val="1"/>
      <w:marLeft w:val="0"/>
      <w:marRight w:val="0"/>
      <w:marTop w:val="0"/>
      <w:marBottom w:val="0"/>
      <w:divBdr>
        <w:top w:val="none" w:sz="0" w:space="0" w:color="auto"/>
        <w:left w:val="none" w:sz="0" w:space="0" w:color="auto"/>
        <w:bottom w:val="none" w:sz="0" w:space="0" w:color="auto"/>
        <w:right w:val="none" w:sz="0" w:space="0" w:color="auto"/>
      </w:divBdr>
    </w:div>
    <w:div w:id="266545806">
      <w:bodyDiv w:val="1"/>
      <w:marLeft w:val="0"/>
      <w:marRight w:val="0"/>
      <w:marTop w:val="0"/>
      <w:marBottom w:val="0"/>
      <w:divBdr>
        <w:top w:val="none" w:sz="0" w:space="0" w:color="auto"/>
        <w:left w:val="none" w:sz="0" w:space="0" w:color="auto"/>
        <w:bottom w:val="none" w:sz="0" w:space="0" w:color="auto"/>
        <w:right w:val="none" w:sz="0" w:space="0" w:color="auto"/>
      </w:divBdr>
    </w:div>
    <w:div w:id="292370908">
      <w:bodyDiv w:val="1"/>
      <w:marLeft w:val="0"/>
      <w:marRight w:val="0"/>
      <w:marTop w:val="0"/>
      <w:marBottom w:val="0"/>
      <w:divBdr>
        <w:top w:val="none" w:sz="0" w:space="0" w:color="auto"/>
        <w:left w:val="none" w:sz="0" w:space="0" w:color="auto"/>
        <w:bottom w:val="none" w:sz="0" w:space="0" w:color="auto"/>
        <w:right w:val="none" w:sz="0" w:space="0" w:color="auto"/>
      </w:divBdr>
    </w:div>
    <w:div w:id="522786874">
      <w:bodyDiv w:val="1"/>
      <w:marLeft w:val="0"/>
      <w:marRight w:val="0"/>
      <w:marTop w:val="0"/>
      <w:marBottom w:val="0"/>
      <w:divBdr>
        <w:top w:val="none" w:sz="0" w:space="0" w:color="auto"/>
        <w:left w:val="none" w:sz="0" w:space="0" w:color="auto"/>
        <w:bottom w:val="none" w:sz="0" w:space="0" w:color="auto"/>
        <w:right w:val="none" w:sz="0" w:space="0" w:color="auto"/>
      </w:divBdr>
    </w:div>
    <w:div w:id="529728751">
      <w:bodyDiv w:val="1"/>
      <w:marLeft w:val="0"/>
      <w:marRight w:val="0"/>
      <w:marTop w:val="0"/>
      <w:marBottom w:val="0"/>
      <w:divBdr>
        <w:top w:val="none" w:sz="0" w:space="0" w:color="auto"/>
        <w:left w:val="none" w:sz="0" w:space="0" w:color="auto"/>
        <w:bottom w:val="none" w:sz="0" w:space="0" w:color="auto"/>
        <w:right w:val="none" w:sz="0" w:space="0" w:color="auto"/>
      </w:divBdr>
    </w:div>
    <w:div w:id="545525123">
      <w:bodyDiv w:val="1"/>
      <w:marLeft w:val="0"/>
      <w:marRight w:val="0"/>
      <w:marTop w:val="0"/>
      <w:marBottom w:val="0"/>
      <w:divBdr>
        <w:top w:val="none" w:sz="0" w:space="0" w:color="auto"/>
        <w:left w:val="none" w:sz="0" w:space="0" w:color="auto"/>
        <w:bottom w:val="none" w:sz="0" w:space="0" w:color="auto"/>
        <w:right w:val="none" w:sz="0" w:space="0" w:color="auto"/>
      </w:divBdr>
    </w:div>
    <w:div w:id="660230748">
      <w:bodyDiv w:val="1"/>
      <w:marLeft w:val="0"/>
      <w:marRight w:val="0"/>
      <w:marTop w:val="0"/>
      <w:marBottom w:val="0"/>
      <w:divBdr>
        <w:top w:val="none" w:sz="0" w:space="0" w:color="auto"/>
        <w:left w:val="none" w:sz="0" w:space="0" w:color="auto"/>
        <w:bottom w:val="none" w:sz="0" w:space="0" w:color="auto"/>
        <w:right w:val="none" w:sz="0" w:space="0" w:color="auto"/>
      </w:divBdr>
    </w:div>
    <w:div w:id="744686391">
      <w:bodyDiv w:val="1"/>
      <w:marLeft w:val="0"/>
      <w:marRight w:val="0"/>
      <w:marTop w:val="0"/>
      <w:marBottom w:val="0"/>
      <w:divBdr>
        <w:top w:val="none" w:sz="0" w:space="0" w:color="auto"/>
        <w:left w:val="none" w:sz="0" w:space="0" w:color="auto"/>
        <w:bottom w:val="none" w:sz="0" w:space="0" w:color="auto"/>
        <w:right w:val="none" w:sz="0" w:space="0" w:color="auto"/>
      </w:divBdr>
    </w:div>
    <w:div w:id="813643102">
      <w:bodyDiv w:val="1"/>
      <w:marLeft w:val="0"/>
      <w:marRight w:val="0"/>
      <w:marTop w:val="0"/>
      <w:marBottom w:val="0"/>
      <w:divBdr>
        <w:top w:val="none" w:sz="0" w:space="0" w:color="auto"/>
        <w:left w:val="none" w:sz="0" w:space="0" w:color="auto"/>
        <w:bottom w:val="none" w:sz="0" w:space="0" w:color="auto"/>
        <w:right w:val="none" w:sz="0" w:space="0" w:color="auto"/>
      </w:divBdr>
      <w:divsChild>
        <w:div w:id="1696881195">
          <w:marLeft w:val="0"/>
          <w:marRight w:val="0"/>
          <w:marTop w:val="0"/>
          <w:marBottom w:val="0"/>
          <w:divBdr>
            <w:top w:val="none" w:sz="0" w:space="0" w:color="auto"/>
            <w:left w:val="none" w:sz="0" w:space="0" w:color="auto"/>
            <w:bottom w:val="none" w:sz="0" w:space="0" w:color="auto"/>
            <w:right w:val="none" w:sz="0" w:space="0" w:color="auto"/>
          </w:divBdr>
        </w:div>
        <w:div w:id="1004941031">
          <w:marLeft w:val="0"/>
          <w:marRight w:val="0"/>
          <w:marTop w:val="0"/>
          <w:marBottom w:val="0"/>
          <w:divBdr>
            <w:top w:val="none" w:sz="0" w:space="0" w:color="auto"/>
            <w:left w:val="none" w:sz="0" w:space="0" w:color="auto"/>
            <w:bottom w:val="none" w:sz="0" w:space="0" w:color="auto"/>
            <w:right w:val="none" w:sz="0" w:space="0" w:color="auto"/>
          </w:divBdr>
        </w:div>
        <w:div w:id="1479808846">
          <w:marLeft w:val="0"/>
          <w:marRight w:val="0"/>
          <w:marTop w:val="0"/>
          <w:marBottom w:val="0"/>
          <w:divBdr>
            <w:top w:val="none" w:sz="0" w:space="0" w:color="auto"/>
            <w:left w:val="none" w:sz="0" w:space="0" w:color="auto"/>
            <w:bottom w:val="none" w:sz="0" w:space="0" w:color="auto"/>
            <w:right w:val="none" w:sz="0" w:space="0" w:color="auto"/>
          </w:divBdr>
        </w:div>
        <w:div w:id="166335407">
          <w:marLeft w:val="0"/>
          <w:marRight w:val="0"/>
          <w:marTop w:val="0"/>
          <w:marBottom w:val="0"/>
          <w:divBdr>
            <w:top w:val="none" w:sz="0" w:space="0" w:color="auto"/>
            <w:left w:val="none" w:sz="0" w:space="0" w:color="auto"/>
            <w:bottom w:val="none" w:sz="0" w:space="0" w:color="auto"/>
            <w:right w:val="none" w:sz="0" w:space="0" w:color="auto"/>
          </w:divBdr>
        </w:div>
      </w:divsChild>
    </w:div>
    <w:div w:id="1025640129">
      <w:bodyDiv w:val="1"/>
      <w:marLeft w:val="0"/>
      <w:marRight w:val="0"/>
      <w:marTop w:val="0"/>
      <w:marBottom w:val="0"/>
      <w:divBdr>
        <w:top w:val="none" w:sz="0" w:space="0" w:color="auto"/>
        <w:left w:val="none" w:sz="0" w:space="0" w:color="auto"/>
        <w:bottom w:val="none" w:sz="0" w:space="0" w:color="auto"/>
        <w:right w:val="none" w:sz="0" w:space="0" w:color="auto"/>
      </w:divBdr>
      <w:divsChild>
        <w:div w:id="40910616">
          <w:marLeft w:val="0"/>
          <w:marRight w:val="0"/>
          <w:marTop w:val="0"/>
          <w:marBottom w:val="0"/>
          <w:divBdr>
            <w:top w:val="none" w:sz="0" w:space="0" w:color="auto"/>
            <w:left w:val="none" w:sz="0" w:space="0" w:color="auto"/>
            <w:bottom w:val="none" w:sz="0" w:space="0" w:color="auto"/>
            <w:right w:val="none" w:sz="0" w:space="0" w:color="auto"/>
          </w:divBdr>
        </w:div>
        <w:div w:id="622613513">
          <w:marLeft w:val="0"/>
          <w:marRight w:val="0"/>
          <w:marTop w:val="0"/>
          <w:marBottom w:val="0"/>
          <w:divBdr>
            <w:top w:val="none" w:sz="0" w:space="0" w:color="auto"/>
            <w:left w:val="none" w:sz="0" w:space="0" w:color="auto"/>
            <w:bottom w:val="none" w:sz="0" w:space="0" w:color="auto"/>
            <w:right w:val="none" w:sz="0" w:space="0" w:color="auto"/>
          </w:divBdr>
        </w:div>
        <w:div w:id="252476483">
          <w:marLeft w:val="0"/>
          <w:marRight w:val="0"/>
          <w:marTop w:val="0"/>
          <w:marBottom w:val="0"/>
          <w:divBdr>
            <w:top w:val="none" w:sz="0" w:space="0" w:color="auto"/>
            <w:left w:val="none" w:sz="0" w:space="0" w:color="auto"/>
            <w:bottom w:val="none" w:sz="0" w:space="0" w:color="auto"/>
            <w:right w:val="none" w:sz="0" w:space="0" w:color="auto"/>
          </w:divBdr>
        </w:div>
        <w:div w:id="908463687">
          <w:marLeft w:val="0"/>
          <w:marRight w:val="0"/>
          <w:marTop w:val="0"/>
          <w:marBottom w:val="0"/>
          <w:divBdr>
            <w:top w:val="none" w:sz="0" w:space="0" w:color="auto"/>
            <w:left w:val="none" w:sz="0" w:space="0" w:color="auto"/>
            <w:bottom w:val="none" w:sz="0" w:space="0" w:color="auto"/>
            <w:right w:val="none" w:sz="0" w:space="0" w:color="auto"/>
          </w:divBdr>
        </w:div>
      </w:divsChild>
    </w:div>
    <w:div w:id="1045719208">
      <w:bodyDiv w:val="1"/>
      <w:marLeft w:val="0"/>
      <w:marRight w:val="0"/>
      <w:marTop w:val="0"/>
      <w:marBottom w:val="0"/>
      <w:divBdr>
        <w:top w:val="none" w:sz="0" w:space="0" w:color="auto"/>
        <w:left w:val="none" w:sz="0" w:space="0" w:color="auto"/>
        <w:bottom w:val="none" w:sz="0" w:space="0" w:color="auto"/>
        <w:right w:val="none" w:sz="0" w:space="0" w:color="auto"/>
      </w:divBdr>
    </w:div>
    <w:div w:id="1089541219">
      <w:bodyDiv w:val="1"/>
      <w:marLeft w:val="0"/>
      <w:marRight w:val="0"/>
      <w:marTop w:val="0"/>
      <w:marBottom w:val="0"/>
      <w:divBdr>
        <w:top w:val="none" w:sz="0" w:space="0" w:color="auto"/>
        <w:left w:val="none" w:sz="0" w:space="0" w:color="auto"/>
        <w:bottom w:val="none" w:sz="0" w:space="0" w:color="auto"/>
        <w:right w:val="none" w:sz="0" w:space="0" w:color="auto"/>
      </w:divBdr>
      <w:divsChild>
        <w:div w:id="1984655497">
          <w:marLeft w:val="0"/>
          <w:marRight w:val="0"/>
          <w:marTop w:val="0"/>
          <w:marBottom w:val="0"/>
          <w:divBdr>
            <w:top w:val="none" w:sz="0" w:space="0" w:color="auto"/>
            <w:left w:val="none" w:sz="0" w:space="0" w:color="auto"/>
            <w:bottom w:val="none" w:sz="0" w:space="0" w:color="auto"/>
            <w:right w:val="none" w:sz="0" w:space="0" w:color="auto"/>
          </w:divBdr>
        </w:div>
        <w:div w:id="1624187292">
          <w:marLeft w:val="0"/>
          <w:marRight w:val="0"/>
          <w:marTop w:val="0"/>
          <w:marBottom w:val="0"/>
          <w:divBdr>
            <w:top w:val="none" w:sz="0" w:space="0" w:color="auto"/>
            <w:left w:val="none" w:sz="0" w:space="0" w:color="auto"/>
            <w:bottom w:val="none" w:sz="0" w:space="0" w:color="auto"/>
            <w:right w:val="none" w:sz="0" w:space="0" w:color="auto"/>
          </w:divBdr>
        </w:div>
        <w:div w:id="1750613300">
          <w:marLeft w:val="0"/>
          <w:marRight w:val="0"/>
          <w:marTop w:val="0"/>
          <w:marBottom w:val="0"/>
          <w:divBdr>
            <w:top w:val="none" w:sz="0" w:space="0" w:color="auto"/>
            <w:left w:val="none" w:sz="0" w:space="0" w:color="auto"/>
            <w:bottom w:val="none" w:sz="0" w:space="0" w:color="auto"/>
            <w:right w:val="none" w:sz="0" w:space="0" w:color="auto"/>
          </w:divBdr>
        </w:div>
        <w:div w:id="371851683">
          <w:marLeft w:val="0"/>
          <w:marRight w:val="0"/>
          <w:marTop w:val="0"/>
          <w:marBottom w:val="0"/>
          <w:divBdr>
            <w:top w:val="none" w:sz="0" w:space="0" w:color="auto"/>
            <w:left w:val="none" w:sz="0" w:space="0" w:color="auto"/>
            <w:bottom w:val="none" w:sz="0" w:space="0" w:color="auto"/>
            <w:right w:val="none" w:sz="0" w:space="0" w:color="auto"/>
          </w:divBdr>
        </w:div>
      </w:divsChild>
    </w:div>
    <w:div w:id="1163856231">
      <w:bodyDiv w:val="1"/>
      <w:marLeft w:val="0"/>
      <w:marRight w:val="0"/>
      <w:marTop w:val="0"/>
      <w:marBottom w:val="0"/>
      <w:divBdr>
        <w:top w:val="none" w:sz="0" w:space="0" w:color="auto"/>
        <w:left w:val="none" w:sz="0" w:space="0" w:color="auto"/>
        <w:bottom w:val="none" w:sz="0" w:space="0" w:color="auto"/>
        <w:right w:val="none" w:sz="0" w:space="0" w:color="auto"/>
      </w:divBdr>
    </w:div>
    <w:div w:id="1280063773">
      <w:bodyDiv w:val="1"/>
      <w:marLeft w:val="0"/>
      <w:marRight w:val="0"/>
      <w:marTop w:val="0"/>
      <w:marBottom w:val="0"/>
      <w:divBdr>
        <w:top w:val="none" w:sz="0" w:space="0" w:color="auto"/>
        <w:left w:val="none" w:sz="0" w:space="0" w:color="auto"/>
        <w:bottom w:val="none" w:sz="0" w:space="0" w:color="auto"/>
        <w:right w:val="none" w:sz="0" w:space="0" w:color="auto"/>
      </w:divBdr>
    </w:div>
    <w:div w:id="1546284630">
      <w:bodyDiv w:val="1"/>
      <w:marLeft w:val="0"/>
      <w:marRight w:val="0"/>
      <w:marTop w:val="0"/>
      <w:marBottom w:val="0"/>
      <w:divBdr>
        <w:top w:val="none" w:sz="0" w:space="0" w:color="auto"/>
        <w:left w:val="none" w:sz="0" w:space="0" w:color="auto"/>
        <w:bottom w:val="none" w:sz="0" w:space="0" w:color="auto"/>
        <w:right w:val="none" w:sz="0" w:space="0" w:color="auto"/>
      </w:divBdr>
    </w:div>
    <w:div w:id="1840925789">
      <w:bodyDiv w:val="1"/>
      <w:marLeft w:val="0"/>
      <w:marRight w:val="0"/>
      <w:marTop w:val="0"/>
      <w:marBottom w:val="0"/>
      <w:divBdr>
        <w:top w:val="none" w:sz="0" w:space="0" w:color="auto"/>
        <w:left w:val="none" w:sz="0" w:space="0" w:color="auto"/>
        <w:bottom w:val="none" w:sz="0" w:space="0" w:color="auto"/>
        <w:right w:val="none" w:sz="0" w:space="0" w:color="auto"/>
      </w:divBdr>
    </w:div>
    <w:div w:id="2105489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1445</Words>
  <Characters>8239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2</cp:revision>
  <dcterms:created xsi:type="dcterms:W3CDTF">2020-08-19T15:00:00Z</dcterms:created>
  <dcterms:modified xsi:type="dcterms:W3CDTF">2020-08-19T15:00:00Z</dcterms:modified>
</cp:coreProperties>
</file>